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688" w:rsidRDefault="00001688" w:rsidP="005C55FD">
      <w:pPr>
        <w:spacing w:line="240" w:lineRule="exact"/>
        <w:ind w:left="142"/>
        <w:jc w:val="center"/>
        <w:rPr>
          <w:b/>
          <w:sz w:val="28"/>
          <w:szCs w:val="28"/>
          <w:u w:val="single"/>
        </w:rPr>
      </w:pPr>
      <w:r w:rsidRPr="003E7A5E">
        <w:rPr>
          <w:b/>
          <w:sz w:val="28"/>
          <w:szCs w:val="28"/>
          <w:u w:val="single"/>
        </w:rPr>
        <w:t xml:space="preserve">Пояснительная записка </w:t>
      </w:r>
    </w:p>
    <w:p w:rsidR="00543194" w:rsidRPr="003E7A5E" w:rsidRDefault="00543194" w:rsidP="005C55FD">
      <w:pPr>
        <w:spacing w:line="240" w:lineRule="exact"/>
        <w:ind w:left="142"/>
        <w:jc w:val="center"/>
        <w:rPr>
          <w:b/>
          <w:sz w:val="28"/>
          <w:szCs w:val="28"/>
          <w:u w:val="single"/>
        </w:rPr>
      </w:pPr>
    </w:p>
    <w:p w:rsidR="00001688" w:rsidRPr="003E7A5E" w:rsidRDefault="00001688" w:rsidP="005C55FD">
      <w:pPr>
        <w:spacing w:line="240" w:lineRule="exact"/>
        <w:ind w:left="142"/>
        <w:jc w:val="center"/>
        <w:rPr>
          <w:b/>
          <w:sz w:val="28"/>
          <w:szCs w:val="28"/>
          <w:u w:val="single"/>
        </w:rPr>
      </w:pPr>
      <w:r w:rsidRPr="003E7A5E">
        <w:rPr>
          <w:b/>
          <w:sz w:val="28"/>
          <w:szCs w:val="28"/>
          <w:u w:val="single"/>
        </w:rPr>
        <w:t xml:space="preserve"> к Инвестиционной программе </w:t>
      </w:r>
      <w:r w:rsidR="00695777" w:rsidRPr="003E7A5E">
        <w:rPr>
          <w:b/>
          <w:sz w:val="28"/>
          <w:szCs w:val="28"/>
          <w:u w:val="single"/>
        </w:rPr>
        <w:t xml:space="preserve">АО «УСК» </w:t>
      </w:r>
      <w:r w:rsidRPr="003E7A5E">
        <w:rPr>
          <w:b/>
          <w:sz w:val="28"/>
          <w:szCs w:val="28"/>
          <w:u w:val="single"/>
        </w:rPr>
        <w:t>на 2015-2021 годы</w:t>
      </w:r>
    </w:p>
    <w:p w:rsidR="00001688" w:rsidRPr="003E7A5E" w:rsidRDefault="00001688" w:rsidP="00001688">
      <w:pPr>
        <w:spacing w:line="240" w:lineRule="exact"/>
        <w:ind w:firstLine="709"/>
        <w:jc w:val="center"/>
      </w:pPr>
    </w:p>
    <w:p w:rsidR="00001688" w:rsidRPr="003E7A5E" w:rsidRDefault="00001688" w:rsidP="00001688">
      <w:pPr>
        <w:spacing w:line="240" w:lineRule="exact"/>
        <w:ind w:firstLine="709"/>
        <w:jc w:val="center"/>
      </w:pPr>
      <w:r w:rsidRPr="003E7A5E">
        <w:t xml:space="preserve"> </w:t>
      </w:r>
    </w:p>
    <w:tbl>
      <w:tblPr>
        <w:tblW w:w="0" w:type="auto"/>
        <w:tblLook w:val="04A0"/>
      </w:tblPr>
      <w:tblGrid>
        <w:gridCol w:w="2073"/>
        <w:gridCol w:w="7498"/>
      </w:tblGrid>
      <w:tr w:rsidR="00001688" w:rsidRPr="003E7A5E" w:rsidTr="00FE189B">
        <w:tc>
          <w:tcPr>
            <w:tcW w:w="2237" w:type="dxa"/>
          </w:tcPr>
          <w:p w:rsidR="00001688" w:rsidRPr="003E7A5E" w:rsidRDefault="000223D2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  <w:r>
              <w:rPr>
                <w:rFonts w:eastAsiaTheme="minorHAnsi"/>
                <w:color w:val="595959" w:themeColor="text1" w:themeTint="A6"/>
              </w:rPr>
              <w:t>Наименование организации</w:t>
            </w:r>
          </w:p>
        </w:tc>
        <w:tc>
          <w:tcPr>
            <w:tcW w:w="8042" w:type="dxa"/>
          </w:tcPr>
          <w:p w:rsidR="00001688" w:rsidRPr="003E7A5E" w:rsidRDefault="005776D8" w:rsidP="00FE189B">
            <w:pPr>
              <w:spacing w:line="240" w:lineRule="exact"/>
              <w:ind w:firstLine="33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Акционерное общество </w:t>
            </w:r>
            <w:r w:rsidR="00001688" w:rsidRPr="003E7A5E">
              <w:rPr>
                <w:rFonts w:eastAsiaTheme="minorHAnsi"/>
              </w:rPr>
              <w:t xml:space="preserve">«Ульяновская сетевая компания» </w:t>
            </w:r>
          </w:p>
          <w:p w:rsidR="00001688" w:rsidRPr="003E7A5E" w:rsidRDefault="00001688" w:rsidP="00FE189B">
            <w:pPr>
              <w:spacing w:line="240" w:lineRule="exact"/>
              <w:ind w:firstLine="33"/>
              <w:jc w:val="both"/>
              <w:rPr>
                <w:rFonts w:eastAsiaTheme="minorHAnsi"/>
              </w:rPr>
            </w:pPr>
          </w:p>
        </w:tc>
      </w:tr>
      <w:tr w:rsidR="00001688" w:rsidRPr="003E7A5E" w:rsidTr="00FE189B">
        <w:tc>
          <w:tcPr>
            <w:tcW w:w="2237" w:type="dxa"/>
          </w:tcPr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</w:p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  <w:r w:rsidRPr="003E7A5E">
              <w:rPr>
                <w:rFonts w:eastAsiaTheme="minorHAnsi"/>
                <w:color w:val="595959" w:themeColor="text1" w:themeTint="A6"/>
              </w:rPr>
              <w:t>Наименование программы</w:t>
            </w:r>
          </w:p>
        </w:tc>
        <w:tc>
          <w:tcPr>
            <w:tcW w:w="8042" w:type="dxa"/>
          </w:tcPr>
          <w:p w:rsidR="00001688" w:rsidRPr="003E7A5E" w:rsidRDefault="00001688" w:rsidP="00FE189B">
            <w:pPr>
              <w:spacing w:line="240" w:lineRule="exact"/>
              <w:rPr>
                <w:rFonts w:eastAsiaTheme="minorHAnsi"/>
              </w:rPr>
            </w:pPr>
          </w:p>
          <w:p w:rsidR="00001688" w:rsidRPr="003E7A5E" w:rsidRDefault="00001688" w:rsidP="00FE189B">
            <w:pPr>
              <w:spacing w:line="240" w:lineRule="exact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>«Развитие электрических сетей АО «Ульяновская сетевая компания» на территории муниципальных образований Ульяновской области на 2015-2021 годы»</w:t>
            </w:r>
          </w:p>
        </w:tc>
      </w:tr>
      <w:tr w:rsidR="00001688" w:rsidRPr="003E7A5E" w:rsidTr="00FE189B">
        <w:tc>
          <w:tcPr>
            <w:tcW w:w="2237" w:type="dxa"/>
          </w:tcPr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</w:p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</w:p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  <w:r w:rsidRPr="003E7A5E">
              <w:rPr>
                <w:rFonts w:eastAsiaTheme="minorHAnsi"/>
                <w:color w:val="595959" w:themeColor="text1" w:themeTint="A6"/>
              </w:rPr>
              <w:t xml:space="preserve">Основание разработки программы </w:t>
            </w:r>
          </w:p>
        </w:tc>
        <w:tc>
          <w:tcPr>
            <w:tcW w:w="8042" w:type="dxa"/>
          </w:tcPr>
          <w:p w:rsidR="00001688" w:rsidRPr="003E7A5E" w:rsidRDefault="00001688" w:rsidP="00FE189B">
            <w:pPr>
              <w:spacing w:line="240" w:lineRule="exact"/>
              <w:rPr>
                <w:rFonts w:eastAsiaTheme="minorHAnsi"/>
              </w:rPr>
            </w:pPr>
          </w:p>
          <w:p w:rsidR="00AA7CBB" w:rsidRPr="003E7A5E" w:rsidRDefault="00AA7CBB" w:rsidP="00FE189B">
            <w:pPr>
              <w:spacing w:line="240" w:lineRule="exact"/>
              <w:rPr>
                <w:rFonts w:eastAsiaTheme="minorHAnsi"/>
              </w:rPr>
            </w:pPr>
          </w:p>
          <w:p w:rsidR="00001688" w:rsidRPr="003E7A5E" w:rsidRDefault="00001688" w:rsidP="00AF621D">
            <w:pPr>
              <w:spacing w:line="240" w:lineRule="exact"/>
              <w:jc w:val="both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>Программа разработана в соответствии с требованиями Федеральн</w:t>
            </w:r>
            <w:r w:rsidR="00402645" w:rsidRPr="003E7A5E">
              <w:rPr>
                <w:rFonts w:eastAsiaTheme="minorHAnsi"/>
              </w:rPr>
              <w:t>ого</w:t>
            </w:r>
            <w:r w:rsidRPr="003E7A5E">
              <w:rPr>
                <w:rFonts w:eastAsiaTheme="minorHAnsi"/>
              </w:rPr>
              <w:t xml:space="preserve"> закон</w:t>
            </w:r>
            <w:r w:rsidR="00402645" w:rsidRPr="003E7A5E">
              <w:rPr>
                <w:rFonts w:eastAsiaTheme="minorHAnsi"/>
              </w:rPr>
              <w:t>а</w:t>
            </w:r>
            <w:r w:rsidRPr="003E7A5E">
              <w:rPr>
                <w:rFonts w:eastAsiaTheme="minorHAnsi"/>
              </w:rPr>
              <w:t xml:space="preserve"> от 26.03.2003г. № 35-ФЗ  «Об электроэнергетике», Постановлени</w:t>
            </w:r>
            <w:r w:rsidR="00402645" w:rsidRPr="003E7A5E">
              <w:rPr>
                <w:rFonts w:eastAsiaTheme="minorHAnsi"/>
              </w:rPr>
              <w:t>я</w:t>
            </w:r>
            <w:r w:rsidRPr="003E7A5E">
              <w:rPr>
                <w:rFonts w:eastAsiaTheme="minorHAnsi"/>
              </w:rPr>
              <w:t xml:space="preserve"> </w:t>
            </w:r>
            <w:r w:rsidR="00402645" w:rsidRPr="003E7A5E">
              <w:rPr>
                <w:rFonts w:eastAsiaTheme="minorHAnsi"/>
              </w:rPr>
              <w:t>П</w:t>
            </w:r>
            <w:r w:rsidRPr="003E7A5E">
              <w:rPr>
                <w:rFonts w:eastAsiaTheme="minorHAnsi"/>
              </w:rPr>
              <w:t>равительства РФ от 01.12.2009г. № 977 «Об инвестиционных программах субъектов электроэнергетики».</w:t>
            </w:r>
          </w:p>
        </w:tc>
      </w:tr>
      <w:tr w:rsidR="00001688" w:rsidRPr="003E7A5E" w:rsidTr="00FE189B">
        <w:tc>
          <w:tcPr>
            <w:tcW w:w="2237" w:type="dxa"/>
          </w:tcPr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</w:p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  <w:r w:rsidRPr="003E7A5E">
              <w:rPr>
                <w:rFonts w:eastAsiaTheme="minorHAnsi"/>
                <w:color w:val="595959" w:themeColor="text1" w:themeTint="A6"/>
              </w:rPr>
              <w:t>Цель инвестиционной программы</w:t>
            </w:r>
          </w:p>
        </w:tc>
        <w:tc>
          <w:tcPr>
            <w:tcW w:w="8042" w:type="dxa"/>
          </w:tcPr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 xml:space="preserve">Программа направлена на обеспечение качества </w:t>
            </w:r>
            <w:r w:rsidR="00402645" w:rsidRPr="003E7A5E">
              <w:rPr>
                <w:rFonts w:eastAsiaTheme="minorHAnsi"/>
              </w:rPr>
              <w:t xml:space="preserve">и надежности </w:t>
            </w:r>
            <w:r w:rsidRPr="003E7A5E">
              <w:rPr>
                <w:rFonts w:eastAsiaTheme="minorHAnsi"/>
              </w:rPr>
              <w:t>предоста</w:t>
            </w:r>
            <w:r w:rsidR="00402645" w:rsidRPr="003E7A5E">
              <w:rPr>
                <w:rFonts w:eastAsiaTheme="minorHAnsi"/>
              </w:rPr>
              <w:t>вления услуг по передаче электрической энергии</w:t>
            </w:r>
            <w:r w:rsidRPr="003E7A5E">
              <w:rPr>
                <w:rFonts w:eastAsiaTheme="minorHAnsi"/>
              </w:rPr>
              <w:t xml:space="preserve"> потребителям, </w:t>
            </w:r>
            <w:r w:rsidR="00402645" w:rsidRPr="003E7A5E">
              <w:rPr>
                <w:rFonts w:eastAsiaTheme="minorHAnsi"/>
              </w:rPr>
              <w:t>работоспособности объектов электросетевого хозяйства, снижение степени износа объектов основных средств.</w:t>
            </w: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</w:tc>
      </w:tr>
      <w:tr w:rsidR="00001688" w:rsidRPr="003E7A5E" w:rsidTr="00FE189B">
        <w:tc>
          <w:tcPr>
            <w:tcW w:w="2237" w:type="dxa"/>
          </w:tcPr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  <w:r w:rsidRPr="003E7A5E">
              <w:rPr>
                <w:rFonts w:eastAsiaTheme="minorHAnsi"/>
                <w:color w:val="595959" w:themeColor="text1" w:themeTint="A6"/>
              </w:rPr>
              <w:t>Срок начала</w:t>
            </w:r>
          </w:p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  <w:r w:rsidRPr="003E7A5E">
              <w:rPr>
                <w:rFonts w:eastAsiaTheme="minorHAnsi"/>
                <w:color w:val="595959" w:themeColor="text1" w:themeTint="A6"/>
              </w:rPr>
              <w:t xml:space="preserve"> и окончания реализации инвестиционной программы</w:t>
            </w:r>
          </w:p>
        </w:tc>
        <w:tc>
          <w:tcPr>
            <w:tcW w:w="8042" w:type="dxa"/>
          </w:tcPr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  <w:color w:val="FF0000"/>
              </w:rPr>
            </w:pP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>01.01.2015г. – 31.12.2021г.</w:t>
            </w:r>
          </w:p>
        </w:tc>
      </w:tr>
      <w:tr w:rsidR="00001688" w:rsidRPr="003E7A5E" w:rsidTr="00FE189B">
        <w:tc>
          <w:tcPr>
            <w:tcW w:w="2237" w:type="dxa"/>
          </w:tcPr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</w:p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  <w:r w:rsidRPr="003E7A5E">
              <w:rPr>
                <w:rFonts w:eastAsiaTheme="minorHAnsi"/>
                <w:color w:val="595959" w:themeColor="text1" w:themeTint="A6"/>
              </w:rPr>
              <w:t>Характеристика программных мероприятий</w:t>
            </w:r>
          </w:p>
        </w:tc>
        <w:tc>
          <w:tcPr>
            <w:tcW w:w="8042" w:type="dxa"/>
          </w:tcPr>
          <w:p w:rsidR="00AA7CBB" w:rsidRPr="003E7A5E" w:rsidRDefault="00AA7CBB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>Программа включает в себя:</w:t>
            </w: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>- мероприятия по строительству и реконструкции оборудования, используемого для передачи электрической энергии;</w:t>
            </w: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 xml:space="preserve">- мероприятия по </w:t>
            </w:r>
            <w:r w:rsidR="00402645" w:rsidRPr="003E7A5E">
              <w:rPr>
                <w:rFonts w:eastAsiaTheme="minorHAnsi"/>
              </w:rPr>
              <w:t>внедрению</w:t>
            </w:r>
            <w:r w:rsidRPr="003E7A5E">
              <w:rPr>
                <w:rFonts w:eastAsiaTheme="minorHAnsi"/>
              </w:rPr>
              <w:t xml:space="preserve"> системы учета электрической энергии;</w:t>
            </w:r>
          </w:p>
          <w:p w:rsidR="00001688" w:rsidRPr="003E7A5E" w:rsidRDefault="00001688" w:rsidP="00402645">
            <w:pPr>
              <w:spacing w:line="240" w:lineRule="exact"/>
              <w:jc w:val="both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 xml:space="preserve">- </w:t>
            </w:r>
            <w:r w:rsidR="00402645" w:rsidRPr="003E7A5E">
              <w:rPr>
                <w:rFonts w:eastAsiaTheme="minorHAnsi"/>
              </w:rPr>
              <w:t>п</w:t>
            </w:r>
            <w:r w:rsidRPr="003E7A5E">
              <w:rPr>
                <w:rFonts w:eastAsiaTheme="minorHAnsi"/>
              </w:rPr>
              <w:t xml:space="preserve">риобретение спецтехники и автотранспорта для обеспечения своевременного </w:t>
            </w:r>
            <w:r w:rsidR="00402645" w:rsidRPr="003E7A5E">
              <w:rPr>
                <w:rFonts w:eastAsiaTheme="minorHAnsi"/>
              </w:rPr>
              <w:t xml:space="preserve">и качественного </w:t>
            </w:r>
            <w:r w:rsidRPr="003E7A5E">
              <w:rPr>
                <w:rFonts w:eastAsiaTheme="minorHAnsi"/>
              </w:rPr>
              <w:t>производства работ.</w:t>
            </w:r>
          </w:p>
        </w:tc>
      </w:tr>
      <w:tr w:rsidR="00001688" w:rsidRPr="003E7A5E" w:rsidTr="00FE189B">
        <w:tc>
          <w:tcPr>
            <w:tcW w:w="2237" w:type="dxa"/>
          </w:tcPr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</w:p>
        </w:tc>
        <w:tc>
          <w:tcPr>
            <w:tcW w:w="8042" w:type="dxa"/>
          </w:tcPr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  <w:color w:val="FF0000"/>
              </w:rPr>
            </w:pPr>
          </w:p>
        </w:tc>
      </w:tr>
      <w:tr w:rsidR="00001688" w:rsidRPr="003E7A5E" w:rsidTr="00FE189B">
        <w:tc>
          <w:tcPr>
            <w:tcW w:w="2237" w:type="dxa"/>
          </w:tcPr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</w:p>
        </w:tc>
        <w:tc>
          <w:tcPr>
            <w:tcW w:w="8042" w:type="dxa"/>
          </w:tcPr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</w:tc>
      </w:tr>
      <w:tr w:rsidR="00001688" w:rsidRPr="003E7A5E" w:rsidTr="00FE189B">
        <w:tc>
          <w:tcPr>
            <w:tcW w:w="2237" w:type="dxa"/>
          </w:tcPr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  <w:r w:rsidRPr="003E7A5E">
              <w:rPr>
                <w:rFonts w:eastAsiaTheme="minorHAnsi"/>
                <w:color w:val="595959" w:themeColor="text1" w:themeTint="A6"/>
              </w:rPr>
              <w:t>Об</w:t>
            </w:r>
            <w:r w:rsidRPr="003E7A5E">
              <w:rPr>
                <w:rFonts w:eastAsiaTheme="minorHAnsi"/>
                <w:vanish/>
                <w:color w:val="595959" w:themeColor="text1" w:themeTint="A6"/>
              </w:rPr>
              <w:t>бюъёмы и источники финансированиявоевременного производства работергией с необходимыми параметрами качества энергоносителей.обо</w:t>
            </w:r>
            <w:r w:rsidRPr="003E7A5E">
              <w:rPr>
                <w:rFonts w:eastAsiaTheme="minorHAnsi"/>
                <w:color w:val="595959" w:themeColor="text1" w:themeTint="A6"/>
              </w:rPr>
              <w:t>ъёмы и источники инвестиционных средств</w:t>
            </w:r>
          </w:p>
        </w:tc>
        <w:tc>
          <w:tcPr>
            <w:tcW w:w="8042" w:type="dxa"/>
          </w:tcPr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>Источником финансирования программы является амортизация и прибыль на капитальные вложения, учитываем</w:t>
            </w:r>
            <w:r w:rsidR="00D73048" w:rsidRPr="003E7A5E">
              <w:rPr>
                <w:rFonts w:eastAsiaTheme="minorHAnsi"/>
              </w:rPr>
              <w:t>ые</w:t>
            </w:r>
            <w:r w:rsidRPr="003E7A5E">
              <w:rPr>
                <w:rFonts w:eastAsiaTheme="minorHAnsi"/>
              </w:rPr>
              <w:t xml:space="preserve"> в тарифе </w:t>
            </w:r>
            <w:r w:rsidR="00402645" w:rsidRPr="003E7A5E">
              <w:rPr>
                <w:rFonts w:eastAsiaTheme="minorHAnsi"/>
              </w:rPr>
              <w:t>н</w:t>
            </w:r>
            <w:r w:rsidR="00D73048" w:rsidRPr="003E7A5E">
              <w:rPr>
                <w:rFonts w:eastAsiaTheme="minorHAnsi"/>
              </w:rPr>
              <w:t xml:space="preserve">а услуги </w:t>
            </w:r>
            <w:r w:rsidR="00402645" w:rsidRPr="003E7A5E">
              <w:rPr>
                <w:rFonts w:eastAsiaTheme="minorHAnsi"/>
              </w:rPr>
              <w:t>по передаче электрической энергии</w:t>
            </w:r>
            <w:r w:rsidRPr="003E7A5E">
              <w:rPr>
                <w:rFonts w:eastAsiaTheme="minorHAnsi"/>
              </w:rPr>
              <w:t>:</w:t>
            </w: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  <w:p w:rsidR="00C04DBD" w:rsidRPr="003E7A5E" w:rsidRDefault="00C04DBD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  <w:p w:rsidR="00001688" w:rsidRPr="003E7A5E" w:rsidRDefault="00001688" w:rsidP="00FE189B">
            <w:pPr>
              <w:spacing w:line="240" w:lineRule="exact"/>
              <w:jc w:val="right"/>
              <w:rPr>
                <w:rFonts w:eastAsiaTheme="minorHAnsi"/>
                <w:i/>
              </w:rPr>
            </w:pPr>
            <w:r w:rsidRPr="003E7A5E">
              <w:rPr>
                <w:rFonts w:eastAsiaTheme="minorHAnsi"/>
                <w:i/>
              </w:rPr>
              <w:t>млн.руб</w:t>
            </w:r>
            <w:r w:rsidR="00046082">
              <w:rPr>
                <w:rFonts w:eastAsiaTheme="minorHAnsi"/>
                <w:i/>
              </w:rPr>
              <w:t>.без НДС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21"/>
              <w:gridCol w:w="906"/>
              <w:gridCol w:w="907"/>
              <w:gridCol w:w="907"/>
              <w:gridCol w:w="907"/>
              <w:gridCol w:w="908"/>
              <w:gridCol w:w="908"/>
              <w:gridCol w:w="908"/>
            </w:tblGrid>
            <w:tr w:rsidR="00001688" w:rsidRPr="003E7A5E" w:rsidTr="005C55FD">
              <w:trPr>
                <w:jc w:val="center"/>
              </w:trPr>
              <w:tc>
                <w:tcPr>
                  <w:tcW w:w="984" w:type="dxa"/>
                  <w:vMerge w:val="restart"/>
                  <w:vAlign w:val="center"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3E7A5E">
                    <w:rPr>
                      <w:rFonts w:eastAsiaTheme="minorHAnsi"/>
                    </w:rPr>
                    <w:t>Всего:</w:t>
                  </w:r>
                </w:p>
              </w:tc>
              <w:tc>
                <w:tcPr>
                  <w:tcW w:w="6832" w:type="dxa"/>
                  <w:gridSpan w:val="7"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3E7A5E">
                    <w:rPr>
                      <w:rFonts w:eastAsiaTheme="minorHAnsi"/>
                    </w:rPr>
                    <w:t>в том числе по годам:</w:t>
                  </w:r>
                </w:p>
              </w:tc>
            </w:tr>
            <w:tr w:rsidR="00001688" w:rsidRPr="003E7A5E" w:rsidTr="005C55FD">
              <w:trPr>
                <w:jc w:val="center"/>
              </w:trPr>
              <w:tc>
                <w:tcPr>
                  <w:tcW w:w="984" w:type="dxa"/>
                  <w:vMerge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</w:p>
              </w:tc>
              <w:tc>
                <w:tcPr>
                  <w:tcW w:w="975" w:type="dxa"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3E7A5E">
                    <w:rPr>
                      <w:rFonts w:eastAsiaTheme="minorHAnsi"/>
                    </w:rPr>
                    <w:t>2015г.</w:t>
                  </w:r>
                </w:p>
              </w:tc>
              <w:tc>
                <w:tcPr>
                  <w:tcW w:w="975" w:type="dxa"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3E7A5E">
                    <w:rPr>
                      <w:rFonts w:eastAsiaTheme="minorHAnsi"/>
                    </w:rPr>
                    <w:t>2016г.</w:t>
                  </w:r>
                </w:p>
              </w:tc>
              <w:tc>
                <w:tcPr>
                  <w:tcW w:w="975" w:type="dxa"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3E7A5E">
                    <w:rPr>
                      <w:rFonts w:eastAsiaTheme="minorHAnsi"/>
                    </w:rPr>
                    <w:t>2017г.</w:t>
                  </w:r>
                </w:p>
              </w:tc>
              <w:tc>
                <w:tcPr>
                  <w:tcW w:w="976" w:type="dxa"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3E7A5E">
                    <w:rPr>
                      <w:rFonts w:eastAsiaTheme="minorHAnsi"/>
                    </w:rPr>
                    <w:t>2018г.</w:t>
                  </w:r>
                </w:p>
              </w:tc>
              <w:tc>
                <w:tcPr>
                  <w:tcW w:w="977" w:type="dxa"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3E7A5E">
                    <w:rPr>
                      <w:rFonts w:eastAsiaTheme="minorHAnsi"/>
                    </w:rPr>
                    <w:t>2019г.</w:t>
                  </w:r>
                </w:p>
              </w:tc>
              <w:tc>
                <w:tcPr>
                  <w:tcW w:w="977" w:type="dxa"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3E7A5E">
                    <w:rPr>
                      <w:rFonts w:eastAsiaTheme="minorHAnsi"/>
                    </w:rPr>
                    <w:t>2020г.</w:t>
                  </w:r>
                </w:p>
              </w:tc>
              <w:tc>
                <w:tcPr>
                  <w:tcW w:w="977" w:type="dxa"/>
                </w:tcPr>
                <w:p w:rsidR="00001688" w:rsidRPr="003E7A5E" w:rsidRDefault="00001688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3E7A5E">
                    <w:rPr>
                      <w:rFonts w:eastAsiaTheme="minorHAnsi"/>
                    </w:rPr>
                    <w:t>2021г.</w:t>
                  </w:r>
                </w:p>
              </w:tc>
            </w:tr>
            <w:tr w:rsidR="00E37D8A" w:rsidRPr="003E7A5E" w:rsidTr="005C55FD">
              <w:trPr>
                <w:jc w:val="center"/>
              </w:trPr>
              <w:tc>
                <w:tcPr>
                  <w:tcW w:w="984" w:type="dxa"/>
                </w:tcPr>
                <w:p w:rsidR="00402645" w:rsidRPr="00EC1A8C" w:rsidRDefault="00402645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</w:p>
                <w:p w:rsidR="00C04DBD" w:rsidRPr="00EC1A8C" w:rsidRDefault="009268FB" w:rsidP="00C04DB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</w:rPr>
                    <w:t>308,</w:t>
                  </w:r>
                  <w:r w:rsidR="00046082">
                    <w:rPr>
                      <w:rFonts w:eastAsiaTheme="minorHAnsi"/>
                    </w:rPr>
                    <w:t>6</w:t>
                  </w:r>
                  <w:r>
                    <w:rPr>
                      <w:rFonts w:eastAsiaTheme="minorHAnsi"/>
                    </w:rPr>
                    <w:t>1</w:t>
                  </w:r>
                </w:p>
                <w:p w:rsidR="00E37D8A" w:rsidRPr="00EC1A8C" w:rsidRDefault="00E37D8A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E37D8A" w:rsidRPr="00EC1A8C" w:rsidRDefault="00E37D8A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EC1A8C">
                    <w:rPr>
                      <w:rFonts w:eastAsiaTheme="minorHAnsi"/>
                    </w:rPr>
                    <w:t>31,83</w:t>
                  </w:r>
                </w:p>
              </w:tc>
              <w:tc>
                <w:tcPr>
                  <w:tcW w:w="975" w:type="dxa"/>
                  <w:vAlign w:val="center"/>
                </w:tcPr>
                <w:p w:rsidR="00E37D8A" w:rsidRPr="00EC1A8C" w:rsidRDefault="00C04DBD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EC1A8C">
                    <w:rPr>
                      <w:rFonts w:eastAsiaTheme="minorHAnsi"/>
                    </w:rPr>
                    <w:t>22,35</w:t>
                  </w:r>
                </w:p>
              </w:tc>
              <w:tc>
                <w:tcPr>
                  <w:tcW w:w="975" w:type="dxa"/>
                  <w:vAlign w:val="center"/>
                </w:tcPr>
                <w:p w:rsidR="00E37D8A" w:rsidRPr="006A6ADB" w:rsidRDefault="00C4315A" w:rsidP="006A6ADB">
                  <w:pPr>
                    <w:spacing w:line="240" w:lineRule="exact"/>
                    <w:jc w:val="center"/>
                    <w:rPr>
                      <w:rFonts w:eastAsiaTheme="minorHAnsi"/>
                      <w:lang w:val="en-US"/>
                    </w:rPr>
                  </w:pPr>
                  <w:r w:rsidRPr="00EC1A8C">
                    <w:rPr>
                      <w:rFonts w:eastAsiaTheme="minorHAnsi"/>
                    </w:rPr>
                    <w:t>36,</w:t>
                  </w:r>
                  <w:r w:rsidR="006A6ADB">
                    <w:rPr>
                      <w:rFonts w:eastAsiaTheme="minorHAnsi"/>
                      <w:lang w:val="en-US"/>
                    </w:rPr>
                    <w:t>81</w:t>
                  </w:r>
                </w:p>
              </w:tc>
              <w:tc>
                <w:tcPr>
                  <w:tcW w:w="976" w:type="dxa"/>
                  <w:vAlign w:val="center"/>
                </w:tcPr>
                <w:p w:rsidR="00E37D8A" w:rsidRPr="006A6ADB" w:rsidRDefault="009C2033" w:rsidP="006A6ADB">
                  <w:pPr>
                    <w:spacing w:line="240" w:lineRule="exact"/>
                    <w:jc w:val="center"/>
                    <w:rPr>
                      <w:rFonts w:eastAsiaTheme="minorHAnsi"/>
                      <w:lang w:val="en-US"/>
                    </w:rPr>
                  </w:pPr>
                  <w:r>
                    <w:rPr>
                      <w:rFonts w:eastAsiaTheme="minorHAnsi"/>
                      <w:lang w:val="en-US"/>
                    </w:rPr>
                    <w:t>42,7</w:t>
                  </w:r>
                  <w:r w:rsidR="006A6ADB">
                    <w:rPr>
                      <w:rFonts w:eastAsiaTheme="minorHAnsi"/>
                      <w:lang w:val="en-US"/>
                    </w:rPr>
                    <w:t>8</w:t>
                  </w:r>
                </w:p>
              </w:tc>
              <w:tc>
                <w:tcPr>
                  <w:tcW w:w="977" w:type="dxa"/>
                  <w:vAlign w:val="center"/>
                </w:tcPr>
                <w:p w:rsidR="00E37D8A" w:rsidRPr="00EC1A8C" w:rsidRDefault="000223D2" w:rsidP="005C55FD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</w:rPr>
                    <w:t>45,63</w:t>
                  </w:r>
                </w:p>
              </w:tc>
              <w:tc>
                <w:tcPr>
                  <w:tcW w:w="977" w:type="dxa"/>
                  <w:vAlign w:val="center"/>
                </w:tcPr>
                <w:p w:rsidR="00E37D8A" w:rsidRPr="00EC1A8C" w:rsidRDefault="00C4315A" w:rsidP="00EC1A8C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 w:rsidRPr="00EC1A8C">
                    <w:rPr>
                      <w:rFonts w:eastAsiaTheme="minorHAnsi"/>
                    </w:rPr>
                    <w:t>8</w:t>
                  </w:r>
                  <w:r w:rsidR="008915EB">
                    <w:rPr>
                      <w:rFonts w:eastAsiaTheme="minorHAnsi"/>
                    </w:rPr>
                    <w:t>6</w:t>
                  </w:r>
                  <w:r w:rsidRPr="00EC1A8C">
                    <w:rPr>
                      <w:rFonts w:eastAsiaTheme="minorHAnsi"/>
                    </w:rPr>
                    <w:t>,</w:t>
                  </w:r>
                  <w:r w:rsidR="008915EB">
                    <w:rPr>
                      <w:rFonts w:eastAsiaTheme="minorHAnsi"/>
                    </w:rPr>
                    <w:t>43</w:t>
                  </w:r>
                </w:p>
              </w:tc>
              <w:tc>
                <w:tcPr>
                  <w:tcW w:w="977" w:type="dxa"/>
                  <w:vAlign w:val="center"/>
                </w:tcPr>
                <w:p w:rsidR="00E37D8A" w:rsidRPr="00EC1A8C" w:rsidRDefault="009268FB" w:rsidP="000134C3">
                  <w:pPr>
                    <w:spacing w:line="240" w:lineRule="exact"/>
                    <w:jc w:val="center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</w:rPr>
                    <w:t>42,78</w:t>
                  </w:r>
                </w:p>
              </w:tc>
            </w:tr>
          </w:tbl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</w:tc>
      </w:tr>
      <w:tr w:rsidR="00001688" w:rsidRPr="003E7A5E" w:rsidTr="00FE189B">
        <w:tc>
          <w:tcPr>
            <w:tcW w:w="2237" w:type="dxa"/>
          </w:tcPr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</w:p>
          <w:p w:rsidR="00001688" w:rsidRPr="003E7A5E" w:rsidRDefault="00001688" w:rsidP="00FE189B">
            <w:pPr>
              <w:spacing w:line="240" w:lineRule="exact"/>
              <w:jc w:val="center"/>
              <w:rPr>
                <w:rFonts w:eastAsiaTheme="minorHAnsi"/>
                <w:color w:val="595959" w:themeColor="text1" w:themeTint="A6"/>
              </w:rPr>
            </w:pPr>
            <w:r w:rsidRPr="003E7A5E">
              <w:rPr>
                <w:rFonts w:eastAsiaTheme="minorHAnsi"/>
                <w:color w:val="595959" w:themeColor="text1" w:themeTint="A6"/>
              </w:rPr>
              <w:t>Ожидаемые результаты реализации инвестиционной программы</w:t>
            </w:r>
          </w:p>
        </w:tc>
        <w:tc>
          <w:tcPr>
            <w:tcW w:w="8042" w:type="dxa"/>
          </w:tcPr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  <w:r w:rsidRPr="003E7A5E">
              <w:rPr>
                <w:rFonts w:eastAsiaTheme="minorHAnsi"/>
              </w:rPr>
              <w:t xml:space="preserve">В результате реализации программы </w:t>
            </w:r>
            <w:r w:rsidR="00402645" w:rsidRPr="003E7A5E">
              <w:rPr>
                <w:rFonts w:eastAsiaTheme="minorHAnsi"/>
              </w:rPr>
              <w:t>планируется</w:t>
            </w:r>
            <w:r w:rsidRPr="003E7A5E">
              <w:rPr>
                <w:rFonts w:eastAsiaTheme="minorHAnsi"/>
              </w:rPr>
              <w:t xml:space="preserve"> достичь                        улучшения технического состояния сетей и оборудования, уменьшения повреждаемости сетей и, как следствие, сокращение затрат на аварийно-восстановительные работы, сокращения потребления энергоресурсов за счет внедрения современного оборудования, бесперебойность снабжения потребителей электрической энергией с необходимыми параметрами качества </w:t>
            </w:r>
            <w:r w:rsidR="00402645" w:rsidRPr="003E7A5E">
              <w:rPr>
                <w:rFonts w:eastAsiaTheme="minorHAnsi"/>
              </w:rPr>
              <w:t>электрической энергии</w:t>
            </w:r>
            <w:r w:rsidRPr="003E7A5E">
              <w:rPr>
                <w:rFonts w:eastAsiaTheme="minorHAnsi"/>
              </w:rPr>
              <w:t>.</w:t>
            </w: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  <w:p w:rsidR="00001688" w:rsidRPr="003E7A5E" w:rsidRDefault="00001688" w:rsidP="00FE189B">
            <w:pPr>
              <w:spacing w:line="240" w:lineRule="exact"/>
              <w:jc w:val="both"/>
              <w:rPr>
                <w:rFonts w:eastAsiaTheme="minorHAnsi"/>
              </w:rPr>
            </w:pPr>
          </w:p>
        </w:tc>
      </w:tr>
    </w:tbl>
    <w:p w:rsidR="00001688" w:rsidRDefault="00001688" w:rsidP="00001688">
      <w:pPr>
        <w:spacing w:line="240" w:lineRule="exact"/>
        <w:ind w:firstLine="709"/>
        <w:jc w:val="center"/>
        <w:rPr>
          <w:ins w:id="0" w:author="israfilova_em" w:date="2021-02-01T16:33:00Z"/>
        </w:rPr>
      </w:pPr>
    </w:p>
    <w:p w:rsidR="00005D0E" w:rsidRPr="003E7A5E" w:rsidRDefault="00005D0E" w:rsidP="00001688">
      <w:pPr>
        <w:spacing w:line="240" w:lineRule="exact"/>
        <w:ind w:firstLine="709"/>
        <w:jc w:val="center"/>
      </w:pPr>
    </w:p>
    <w:p w:rsidR="00FB5CF2" w:rsidRDefault="00FB5CF2" w:rsidP="00FB5CF2">
      <w:pPr>
        <w:ind w:firstLine="709"/>
        <w:contextualSpacing/>
        <w:jc w:val="center"/>
        <w:rPr>
          <w:b/>
          <w:sz w:val="28"/>
          <w:szCs w:val="28"/>
          <w:u w:val="single"/>
        </w:rPr>
      </w:pPr>
    </w:p>
    <w:p w:rsidR="00972DA5" w:rsidRDefault="00972DA5" w:rsidP="00FB5CF2">
      <w:pPr>
        <w:ind w:firstLine="709"/>
        <w:contextualSpacing/>
        <w:jc w:val="center"/>
        <w:rPr>
          <w:b/>
          <w:sz w:val="28"/>
          <w:szCs w:val="28"/>
          <w:u w:val="single"/>
        </w:rPr>
      </w:pPr>
      <w:r w:rsidRPr="00FB5CF2">
        <w:rPr>
          <w:b/>
          <w:sz w:val="28"/>
          <w:szCs w:val="28"/>
          <w:u w:val="single"/>
        </w:rPr>
        <w:lastRenderedPageBreak/>
        <w:t>Корректировки инвестиционной программы АО «УСК»</w:t>
      </w:r>
    </w:p>
    <w:p w:rsidR="00FB5CF2" w:rsidRPr="00FB5CF2" w:rsidRDefault="00046082" w:rsidP="00FB5CF2">
      <w:pPr>
        <w:ind w:firstLine="709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2021</w:t>
      </w:r>
      <w:r w:rsidR="00FB5CF2">
        <w:rPr>
          <w:b/>
          <w:sz w:val="28"/>
          <w:szCs w:val="28"/>
          <w:u w:val="single"/>
        </w:rPr>
        <w:t xml:space="preserve"> году</w:t>
      </w:r>
    </w:p>
    <w:p w:rsidR="00972DA5" w:rsidRPr="00FB5CF2" w:rsidRDefault="00972DA5" w:rsidP="00FB5CF2">
      <w:pPr>
        <w:ind w:firstLine="709"/>
        <w:contextualSpacing/>
        <w:jc w:val="center"/>
        <w:rPr>
          <w:b/>
          <w:u w:val="single"/>
        </w:rPr>
      </w:pPr>
    </w:p>
    <w:p w:rsidR="00FB5CF2" w:rsidRDefault="00FB5CF2" w:rsidP="00972DA5">
      <w:pPr>
        <w:ind w:firstLine="709"/>
        <w:contextualSpacing/>
        <w:jc w:val="both"/>
      </w:pPr>
    </w:p>
    <w:p w:rsidR="001A7325" w:rsidRPr="001A7325" w:rsidRDefault="00972DA5" w:rsidP="001A7325">
      <w:pPr>
        <w:ind w:firstLine="709"/>
        <w:contextualSpacing/>
        <w:jc w:val="both"/>
      </w:pPr>
      <w:r w:rsidRPr="00972DA5">
        <w:t>Необходимость корректировки инвестиционной программы АО «УСК» на 2015-2021 гг. обусловлена следующими факторами:</w:t>
      </w:r>
    </w:p>
    <w:p w:rsidR="00972DA5" w:rsidRDefault="00972DA5" w:rsidP="00972DA5">
      <w:pPr>
        <w:ind w:firstLine="709"/>
        <w:contextualSpacing/>
        <w:jc w:val="both"/>
      </w:pPr>
    </w:p>
    <w:p w:rsidR="001A7325" w:rsidRPr="00972DA5" w:rsidRDefault="001A7325" w:rsidP="00972DA5">
      <w:pPr>
        <w:ind w:firstLine="709"/>
        <w:contextualSpacing/>
        <w:jc w:val="both"/>
      </w:pPr>
      <w:r>
        <w:t xml:space="preserve">- </w:t>
      </w:r>
      <w:r w:rsidR="002C6E55">
        <w:t>Ввиду ограничения роста тарифов на передачу электроэнергии в</w:t>
      </w:r>
      <w:r>
        <w:t xml:space="preserve"> 2021г</w:t>
      </w:r>
      <w:r w:rsidR="002C6E55">
        <w:t>,</w:t>
      </w:r>
      <w:r>
        <w:t xml:space="preserve"> </w:t>
      </w:r>
      <w:r w:rsidR="002C6E55">
        <w:t xml:space="preserve">30.12.2020г </w:t>
      </w:r>
      <w:r>
        <w:t xml:space="preserve">регулирующим органом </w:t>
      </w:r>
      <w:r w:rsidR="005C652B">
        <w:t>(Агентством по регулированию цен и тарифов Ул</w:t>
      </w:r>
      <w:r w:rsidR="003628B4">
        <w:t>ь</w:t>
      </w:r>
      <w:r w:rsidR="005C652B">
        <w:t xml:space="preserve">яновской области) </w:t>
      </w:r>
      <w:r>
        <w:t>исключен из состава необходимой валовой выручки</w:t>
      </w:r>
      <w:r w:rsidR="005C652B">
        <w:t xml:space="preserve"> АО «УСК»</w:t>
      </w:r>
      <w:r>
        <w:t xml:space="preserve"> </w:t>
      </w:r>
      <w:r w:rsidR="005C652B">
        <w:t>источник финансирования инвестиционной прог</w:t>
      </w:r>
      <w:r w:rsidR="003628B4">
        <w:t>р</w:t>
      </w:r>
      <w:r w:rsidR="005C652B">
        <w:t xml:space="preserve">аммы - </w:t>
      </w:r>
      <w:r w:rsidR="002C6E55">
        <w:t>прибыль</w:t>
      </w:r>
      <w:r>
        <w:t xml:space="preserve"> на капитальные вложения;</w:t>
      </w:r>
    </w:p>
    <w:p w:rsidR="001A7325" w:rsidRPr="001A7325" w:rsidRDefault="00DC6347" w:rsidP="00046082">
      <w:pPr>
        <w:contextualSpacing/>
        <w:jc w:val="both"/>
      </w:pPr>
      <w:r>
        <w:t xml:space="preserve">            - </w:t>
      </w:r>
      <w:r w:rsidR="007B7510">
        <w:t>Необходимостью</w:t>
      </w:r>
      <w:r w:rsidR="007B7510" w:rsidRPr="007B7510">
        <w:t xml:space="preserve"> </w:t>
      </w:r>
      <w:r w:rsidR="003843D4">
        <w:t>организации</w:t>
      </w:r>
      <w:r w:rsidR="007B7510" w:rsidRPr="007B7510">
        <w:t xml:space="preserve"> </w:t>
      </w:r>
      <w:r w:rsidR="00046082" w:rsidRPr="00046082">
        <w:t xml:space="preserve">интеллектуальной системы учета электрической энергии (мощности) с целью исполнения ФЗ №522 от 27.12.2018 г. и </w:t>
      </w:r>
      <w:r w:rsidR="00CA3EB7">
        <w:t>П</w:t>
      </w:r>
      <w:r w:rsidR="00046082" w:rsidRPr="00046082">
        <w:t xml:space="preserve">остановления </w:t>
      </w:r>
      <w:r w:rsidR="00CA3EB7">
        <w:t>П</w:t>
      </w:r>
      <w:r w:rsidR="00046082" w:rsidRPr="00046082">
        <w:t>равительства РФ №890</w:t>
      </w:r>
      <w:r w:rsidR="001A7325">
        <w:t xml:space="preserve"> от 19.06.2020 г.</w:t>
      </w:r>
      <w:r w:rsidR="005C652B">
        <w:t>;</w:t>
      </w:r>
    </w:p>
    <w:p w:rsidR="00AE2791" w:rsidRDefault="00AE2791" w:rsidP="00046082">
      <w:pPr>
        <w:contextualSpacing/>
        <w:jc w:val="both"/>
      </w:pPr>
    </w:p>
    <w:p w:rsidR="005C652B" w:rsidRDefault="00972DA5" w:rsidP="00046082">
      <w:pPr>
        <w:contextualSpacing/>
        <w:jc w:val="both"/>
      </w:pPr>
      <w:r w:rsidRPr="00972DA5">
        <w:t xml:space="preserve">Корректировка инвестиционной программы АО «УСК» произведена в пределах </w:t>
      </w:r>
      <w:r w:rsidR="005C652B">
        <w:t>предусмотренных Агентством по регулированию цен и тарифов Ул</w:t>
      </w:r>
      <w:r w:rsidR="003628B4">
        <w:t>ь</w:t>
      </w:r>
      <w:r w:rsidR="005C652B">
        <w:t>яновской области инвестиционных ресурсов в составе НВВ Общества на 2021 г.</w:t>
      </w:r>
    </w:p>
    <w:p w:rsidR="00972DA5" w:rsidRDefault="00972DA5" w:rsidP="00972DA5">
      <w:pPr>
        <w:tabs>
          <w:tab w:val="left" w:pos="993"/>
        </w:tabs>
        <w:ind w:firstLine="992"/>
        <w:contextualSpacing/>
        <w:jc w:val="both"/>
      </w:pPr>
    </w:p>
    <w:p w:rsidR="00972DA5" w:rsidRPr="00972DA5" w:rsidRDefault="00972DA5" w:rsidP="00972DA5">
      <w:pPr>
        <w:tabs>
          <w:tab w:val="left" w:pos="993"/>
        </w:tabs>
        <w:ind w:firstLine="709"/>
        <w:contextualSpacing/>
        <w:jc w:val="both"/>
      </w:pPr>
      <w:r w:rsidRPr="00972DA5">
        <w:t>Решения, принятые при разработке инвестиционной программы, соответствуют целям и задачам Стратегии развития электросетевого комплекса Российской Федерации на период до 2030 г. (распоряжение правительства РФ от 03.04.2013 г. № 511-р), Плана мероприятий («Дорожной карты») «Повышения доступности энергетической инфраструктуры» (в редакции распоряжения Правительства РФ от 09.08.2013 г. № 1400-р) и требованиями действующего законодательства.</w:t>
      </w:r>
    </w:p>
    <w:p w:rsidR="00FB5CF2" w:rsidRDefault="00FB5CF2" w:rsidP="00972DA5">
      <w:pPr>
        <w:ind w:firstLine="709"/>
        <w:contextualSpacing/>
        <w:jc w:val="both"/>
      </w:pPr>
    </w:p>
    <w:p w:rsidR="00972DA5" w:rsidRPr="00972DA5" w:rsidRDefault="00972DA5" w:rsidP="00972DA5">
      <w:pPr>
        <w:ind w:firstLine="709"/>
        <w:contextualSpacing/>
        <w:jc w:val="both"/>
      </w:pPr>
      <w:r w:rsidRPr="00972DA5">
        <w:t>В рамках реализации инвестиционной программы предусматривается решение следующих задач:</w:t>
      </w:r>
    </w:p>
    <w:p w:rsidR="00972DA5" w:rsidRPr="00972DA5" w:rsidRDefault="00972DA5" w:rsidP="00972DA5">
      <w:pPr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</w:pPr>
      <w:r w:rsidRPr="00972DA5">
        <w:t>Поддержание в эксплуатационной готовности оборудования, необходимого для надежного, бесперебойного и качественного энергоснабжения потребителей;</w:t>
      </w:r>
    </w:p>
    <w:p w:rsidR="00972DA5" w:rsidRPr="00972DA5" w:rsidRDefault="00972DA5" w:rsidP="00972DA5">
      <w:pPr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</w:pPr>
      <w:r w:rsidRPr="00972DA5">
        <w:t>Проведение мероприятий по снижению производственных издержек, в том числе за счет повышения эффективности работы оборудования, развития системы учета передаваемой электрической энергии;</w:t>
      </w:r>
    </w:p>
    <w:p w:rsidR="00A8676D" w:rsidRDefault="00A8676D" w:rsidP="00972DA5">
      <w:pPr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</w:pPr>
      <w:r>
        <w:t>Модернизация основных фондов;</w:t>
      </w:r>
    </w:p>
    <w:p w:rsidR="00972DA5" w:rsidRPr="00972DA5" w:rsidRDefault="00972DA5" w:rsidP="00972DA5">
      <w:pPr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</w:pPr>
      <w:r w:rsidRPr="00972DA5">
        <w:t>Обеспечение безопасности работы оборудования и персонала;</w:t>
      </w:r>
    </w:p>
    <w:p w:rsidR="00972DA5" w:rsidRPr="00972DA5" w:rsidRDefault="00972DA5" w:rsidP="00AE2791">
      <w:pPr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</w:pPr>
      <w:r w:rsidRPr="00972DA5">
        <w:t>Обеспечение пропускной способности электрических сетей для устойчивого функционирования электроэнергетики и обеспечения выполнения мероприятий в рамках технологического присоединения потребителей с учетом актуализации прогнозируемого спроса на поставку мощности, технологических нагрузок в среднесрочной перспективе;</w:t>
      </w:r>
    </w:p>
    <w:p w:rsidR="00204290" w:rsidRDefault="00204290" w:rsidP="00972DA5">
      <w:pPr>
        <w:autoSpaceDE w:val="0"/>
        <w:autoSpaceDN w:val="0"/>
        <w:adjustRightInd w:val="0"/>
        <w:spacing w:line="240" w:lineRule="atLeast"/>
        <w:ind w:firstLine="1066"/>
        <w:jc w:val="both"/>
        <w:rPr>
          <w:color w:val="000000" w:themeColor="text1"/>
        </w:rPr>
      </w:pPr>
    </w:p>
    <w:p w:rsidR="00972DA5" w:rsidRPr="00972DA5" w:rsidRDefault="00AE2791" w:rsidP="00AE2791">
      <w:pPr>
        <w:autoSpaceDE w:val="0"/>
        <w:autoSpaceDN w:val="0"/>
        <w:adjustRightInd w:val="0"/>
        <w:spacing w:line="240" w:lineRule="atLeast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046082">
        <w:rPr>
          <w:color w:val="000000" w:themeColor="text1"/>
        </w:rPr>
        <w:t>На 2021</w:t>
      </w:r>
      <w:r w:rsidR="00972DA5" w:rsidRPr="00C32840">
        <w:rPr>
          <w:color w:val="000000" w:themeColor="text1"/>
        </w:rPr>
        <w:t xml:space="preserve"> год объекты инвестиционной программы ско</w:t>
      </w:r>
      <w:r w:rsidR="00405350">
        <w:rPr>
          <w:color w:val="000000" w:themeColor="text1"/>
        </w:rPr>
        <w:t>рректированы</w:t>
      </w:r>
      <w:r w:rsidR="005C652B">
        <w:rPr>
          <w:color w:val="000000" w:themeColor="text1"/>
        </w:rPr>
        <w:t>,</w:t>
      </w:r>
      <w:r w:rsidR="00405350">
        <w:rPr>
          <w:color w:val="000000" w:themeColor="text1"/>
        </w:rPr>
        <w:t xml:space="preserve"> исходя из </w:t>
      </w:r>
      <w:r w:rsidR="005C652B">
        <w:rPr>
          <w:color w:val="000000" w:themeColor="text1"/>
        </w:rPr>
        <w:t xml:space="preserve">плановых объемов </w:t>
      </w:r>
      <w:r w:rsidR="00972DA5" w:rsidRPr="00C32840">
        <w:rPr>
          <w:color w:val="000000" w:themeColor="text1"/>
        </w:rPr>
        <w:t xml:space="preserve">финансирования </w:t>
      </w:r>
      <w:r w:rsidR="005C652B">
        <w:rPr>
          <w:color w:val="000000" w:themeColor="text1"/>
        </w:rPr>
        <w:t xml:space="preserve">инвестиционной программы </w:t>
      </w:r>
      <w:r w:rsidR="00972DA5" w:rsidRPr="00C32840">
        <w:rPr>
          <w:color w:val="000000" w:themeColor="text1"/>
        </w:rPr>
        <w:t>в виде амортизаци</w:t>
      </w:r>
      <w:r w:rsidR="005C652B">
        <w:rPr>
          <w:color w:val="000000" w:themeColor="text1"/>
        </w:rPr>
        <w:t>онных отчислений</w:t>
      </w:r>
      <w:r w:rsidR="00972DA5" w:rsidRPr="00C32840">
        <w:rPr>
          <w:color w:val="000000" w:themeColor="text1"/>
        </w:rPr>
        <w:t xml:space="preserve">, </w:t>
      </w:r>
      <w:r w:rsidR="005C652B">
        <w:rPr>
          <w:color w:val="000000" w:themeColor="text1"/>
        </w:rPr>
        <w:t xml:space="preserve">учтенных при установлении тарифов </w:t>
      </w:r>
      <w:r w:rsidR="00BB63FC">
        <w:rPr>
          <w:color w:val="000000" w:themeColor="text1"/>
        </w:rPr>
        <w:t xml:space="preserve">на услуги по передаче электрической энергии </w:t>
      </w:r>
      <w:r w:rsidR="00972DA5" w:rsidRPr="00C32840">
        <w:rPr>
          <w:color w:val="000000" w:themeColor="text1"/>
        </w:rPr>
        <w:t>в составе необходимой валовой выручки Общества на оч</w:t>
      </w:r>
      <w:r w:rsidR="009268FB">
        <w:rPr>
          <w:color w:val="000000" w:themeColor="text1"/>
        </w:rPr>
        <w:t>ередной</w:t>
      </w:r>
      <w:r w:rsidR="00BB63FC">
        <w:rPr>
          <w:color w:val="000000" w:themeColor="text1"/>
        </w:rPr>
        <w:t xml:space="preserve"> период регулирования.</w:t>
      </w:r>
      <w:r w:rsidR="00972DA5" w:rsidRPr="00C32840">
        <w:rPr>
          <w:color w:val="000000" w:themeColor="text1"/>
        </w:rPr>
        <w:t xml:space="preserve"> </w:t>
      </w:r>
    </w:p>
    <w:p w:rsidR="00972DA5" w:rsidRPr="00972DA5" w:rsidRDefault="00972DA5" w:rsidP="00C62982">
      <w:pPr>
        <w:autoSpaceDE w:val="0"/>
        <w:autoSpaceDN w:val="0"/>
        <w:adjustRightInd w:val="0"/>
        <w:spacing w:line="240" w:lineRule="atLeast"/>
        <w:ind w:left="357" w:firstLine="352"/>
        <w:jc w:val="both"/>
        <w:rPr>
          <w:color w:val="000000" w:themeColor="text1"/>
        </w:rPr>
      </w:pPr>
      <w:r w:rsidRPr="00972DA5">
        <w:rPr>
          <w:color w:val="000000" w:themeColor="text1"/>
        </w:rPr>
        <w:t xml:space="preserve">Объем капитальных вложений </w:t>
      </w:r>
      <w:r w:rsidR="00046082">
        <w:rPr>
          <w:color w:val="000000" w:themeColor="text1"/>
        </w:rPr>
        <w:t>в 2021</w:t>
      </w:r>
      <w:r w:rsidR="00FB5CF2">
        <w:rPr>
          <w:color w:val="000000" w:themeColor="text1"/>
        </w:rPr>
        <w:t xml:space="preserve"> году </w:t>
      </w:r>
      <w:r w:rsidR="008915EB">
        <w:rPr>
          <w:color w:val="000000" w:themeColor="text1"/>
        </w:rPr>
        <w:t>составит -</w:t>
      </w:r>
      <w:r w:rsidR="009268FB">
        <w:rPr>
          <w:color w:val="000000" w:themeColor="text1"/>
        </w:rPr>
        <w:t xml:space="preserve"> 42,78</w:t>
      </w:r>
      <w:r w:rsidR="000223D2">
        <w:rPr>
          <w:color w:val="000000" w:themeColor="text1"/>
        </w:rPr>
        <w:t xml:space="preserve"> </w:t>
      </w:r>
      <w:r w:rsidRPr="00972DA5">
        <w:rPr>
          <w:color w:val="000000" w:themeColor="text1"/>
        </w:rPr>
        <w:t>млн.руб.</w:t>
      </w:r>
      <w:r w:rsidR="008915EB">
        <w:rPr>
          <w:color w:val="000000" w:themeColor="text1"/>
        </w:rPr>
        <w:t xml:space="preserve"> </w:t>
      </w:r>
      <w:r w:rsidRPr="00972DA5">
        <w:rPr>
          <w:color w:val="000000" w:themeColor="text1"/>
        </w:rPr>
        <w:t>(без НДС).</w:t>
      </w:r>
    </w:p>
    <w:p w:rsidR="00972DA5" w:rsidRPr="00972DA5" w:rsidRDefault="00972DA5" w:rsidP="00001688">
      <w:pPr>
        <w:autoSpaceDE w:val="0"/>
        <w:autoSpaceDN w:val="0"/>
        <w:adjustRightInd w:val="0"/>
        <w:spacing w:line="240" w:lineRule="atLeast"/>
        <w:ind w:left="357" w:firstLine="709"/>
        <w:jc w:val="both"/>
        <w:rPr>
          <w:color w:val="000000" w:themeColor="text1"/>
        </w:rPr>
      </w:pPr>
    </w:p>
    <w:p w:rsidR="003628B4" w:rsidRDefault="003628B4" w:rsidP="00FB5CF2">
      <w:pPr>
        <w:ind w:left="1134" w:firstLine="426"/>
        <w:contextualSpacing/>
        <w:rPr>
          <w:b/>
        </w:rPr>
      </w:pPr>
    </w:p>
    <w:p w:rsidR="003628B4" w:rsidRDefault="003628B4" w:rsidP="00FB5CF2">
      <w:pPr>
        <w:ind w:left="1134" w:firstLine="426"/>
        <w:contextualSpacing/>
        <w:rPr>
          <w:b/>
        </w:rPr>
      </w:pPr>
    </w:p>
    <w:p w:rsidR="003628B4" w:rsidRDefault="003628B4" w:rsidP="00FB5CF2">
      <w:pPr>
        <w:ind w:left="1134" w:firstLine="426"/>
        <w:contextualSpacing/>
        <w:rPr>
          <w:b/>
        </w:rPr>
      </w:pPr>
    </w:p>
    <w:p w:rsidR="003628B4" w:rsidRDefault="003628B4" w:rsidP="00FB5CF2">
      <w:pPr>
        <w:ind w:left="1134" w:firstLine="426"/>
        <w:contextualSpacing/>
        <w:rPr>
          <w:b/>
        </w:rPr>
      </w:pPr>
    </w:p>
    <w:p w:rsidR="003628B4" w:rsidRDefault="003628B4" w:rsidP="003628B4">
      <w:pPr>
        <w:contextualSpacing/>
        <w:rPr>
          <w:b/>
        </w:rPr>
      </w:pPr>
    </w:p>
    <w:p w:rsidR="00033F49" w:rsidRDefault="00033F49" w:rsidP="00FB5CF2">
      <w:pPr>
        <w:ind w:left="1134" w:firstLine="426"/>
        <w:contextualSpacing/>
        <w:rPr>
          <w:b/>
        </w:rPr>
      </w:pPr>
      <w:r w:rsidRPr="00033F49">
        <w:rPr>
          <w:b/>
        </w:rPr>
        <w:t>Мероприятия инвестиционной программы в разрезе приоритетов</w:t>
      </w:r>
    </w:p>
    <w:p w:rsidR="00BB63FC" w:rsidRDefault="00BB63FC" w:rsidP="00FB5CF2">
      <w:pPr>
        <w:ind w:left="1134" w:firstLine="426"/>
        <w:contextualSpacing/>
        <w:rPr>
          <w:b/>
        </w:rPr>
      </w:pPr>
    </w:p>
    <w:p w:rsidR="00BB63FC" w:rsidRDefault="00BB63FC" w:rsidP="00FB5CF2">
      <w:pPr>
        <w:ind w:left="1134" w:firstLine="426"/>
        <w:contextualSpacing/>
        <w:rPr>
          <w:b/>
        </w:rPr>
      </w:pPr>
    </w:p>
    <w:p w:rsidR="00094EBD" w:rsidRDefault="00CA3EB7">
      <w:pPr>
        <w:tabs>
          <w:tab w:val="left" w:pos="993"/>
        </w:tabs>
        <w:ind w:firstLine="709"/>
        <w:contextualSpacing/>
        <w:jc w:val="both"/>
      </w:pPr>
      <w:r>
        <w:t>Необходимость</w:t>
      </w:r>
      <w:r w:rsidRPr="007B7510">
        <w:t xml:space="preserve"> </w:t>
      </w:r>
      <w:r w:rsidR="003843D4">
        <w:t>организации</w:t>
      </w:r>
      <w:bookmarkStart w:id="1" w:name="_GoBack"/>
      <w:bookmarkEnd w:id="1"/>
      <w:r w:rsidRPr="007B7510">
        <w:t xml:space="preserve"> </w:t>
      </w:r>
      <w:r w:rsidRPr="00046082">
        <w:t xml:space="preserve">интеллектуальной системы учета электрической энергии (мощности) с целью исполнения ФЗ №522 от 27.12.2018 г. и </w:t>
      </w:r>
      <w:r>
        <w:t>П</w:t>
      </w:r>
      <w:r w:rsidRPr="00046082">
        <w:t xml:space="preserve">остановления </w:t>
      </w:r>
      <w:r>
        <w:t>П</w:t>
      </w:r>
      <w:r w:rsidRPr="00046082">
        <w:t>равительства РФ №890</w:t>
      </w:r>
      <w:r>
        <w:t xml:space="preserve"> от 19.06.2020 г.</w:t>
      </w:r>
    </w:p>
    <w:p w:rsidR="00094EBD" w:rsidRDefault="00094EBD">
      <w:pPr>
        <w:tabs>
          <w:tab w:val="left" w:pos="993"/>
        </w:tabs>
        <w:ind w:firstLine="709"/>
        <w:contextualSpacing/>
        <w:jc w:val="both"/>
      </w:pPr>
    </w:p>
    <w:p w:rsidR="00033F49" w:rsidRPr="00403BBD" w:rsidRDefault="00033F49" w:rsidP="00403BBD">
      <w:pPr>
        <w:pStyle w:val="a4"/>
        <w:numPr>
          <w:ilvl w:val="0"/>
          <w:numId w:val="27"/>
        </w:numPr>
        <w:tabs>
          <w:tab w:val="left" w:pos="0"/>
          <w:tab w:val="left" w:pos="993"/>
        </w:tabs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403BBD">
        <w:rPr>
          <w:rFonts w:ascii="Times New Roman" w:hAnsi="Times New Roman"/>
          <w:b/>
          <w:color w:val="auto"/>
          <w:sz w:val="24"/>
          <w:szCs w:val="24"/>
        </w:rPr>
        <w:t>Повышение надежности электроснабжения потребителей.</w:t>
      </w:r>
    </w:p>
    <w:p w:rsidR="00FB5CF2" w:rsidRDefault="00FB5CF2" w:rsidP="00FB5CF2">
      <w:pPr>
        <w:tabs>
          <w:tab w:val="left" w:pos="0"/>
          <w:tab w:val="left" w:pos="993"/>
        </w:tabs>
        <w:ind w:left="709"/>
        <w:contextualSpacing/>
        <w:jc w:val="both"/>
      </w:pPr>
    </w:p>
    <w:p w:rsidR="00033F49" w:rsidRPr="00033F49" w:rsidRDefault="00033F49" w:rsidP="00033F49">
      <w:pPr>
        <w:tabs>
          <w:tab w:val="left" w:pos="1134"/>
        </w:tabs>
        <w:ind w:firstLine="709"/>
        <w:contextualSpacing/>
        <w:jc w:val="both"/>
      </w:pPr>
      <w:r w:rsidRPr="00033F49">
        <w:t>Ключевым показателем эффективности деятельности Общества является надежная работа энергосистемы, направленная на исключение аварийных ситуаций, в том числе техногенного характера и предотвращения экологических рисков, связанных с последствием аварийных ситуаций. А также реализация, в том числе следующих задач:</w:t>
      </w:r>
    </w:p>
    <w:p w:rsidR="00033F49" w:rsidRPr="00033F49" w:rsidRDefault="00033F49" w:rsidP="00033F49">
      <w:pPr>
        <w:numPr>
          <w:ilvl w:val="0"/>
          <w:numId w:val="17"/>
        </w:numPr>
        <w:tabs>
          <w:tab w:val="left" w:pos="1134"/>
        </w:tabs>
        <w:ind w:left="0" w:firstLine="709"/>
        <w:contextualSpacing/>
        <w:jc w:val="both"/>
      </w:pPr>
      <w:r w:rsidRPr="00033F49">
        <w:t>Проведение мероприятий по снижению производственных издержек, в том числе за счет повышения эффективности работы оборудования и развития систем учета передаваемой и потребляемой электрической электроэнергии;</w:t>
      </w:r>
    </w:p>
    <w:p w:rsidR="00033F49" w:rsidRPr="00033F49" w:rsidRDefault="00033F49" w:rsidP="00033F49">
      <w:pPr>
        <w:numPr>
          <w:ilvl w:val="0"/>
          <w:numId w:val="17"/>
        </w:numPr>
        <w:tabs>
          <w:tab w:val="left" w:pos="1134"/>
        </w:tabs>
        <w:ind w:left="0" w:firstLine="709"/>
        <w:contextualSpacing/>
        <w:jc w:val="both"/>
      </w:pPr>
      <w:r w:rsidRPr="00033F49">
        <w:t>Модернизация основных фондов;</w:t>
      </w:r>
    </w:p>
    <w:p w:rsidR="00033F49" w:rsidRPr="00033F49" w:rsidRDefault="00033F49" w:rsidP="00033F49">
      <w:pPr>
        <w:numPr>
          <w:ilvl w:val="0"/>
          <w:numId w:val="17"/>
        </w:numPr>
        <w:tabs>
          <w:tab w:val="left" w:pos="1134"/>
        </w:tabs>
        <w:ind w:left="0" w:firstLine="709"/>
        <w:contextualSpacing/>
        <w:jc w:val="both"/>
      </w:pPr>
      <w:r w:rsidRPr="00033F49">
        <w:t>Обеспечение пропускной способности электрических сетей для устойчивого функционирования электроэнергетики и обеспечения присоединения потребителей с учетом актуализации прогнозируемого спроса на поставку мощности, технологических нагрузок в среднесрочной перспективе;</w:t>
      </w:r>
    </w:p>
    <w:p w:rsidR="00033F49" w:rsidRDefault="00033F49" w:rsidP="00033F49">
      <w:pPr>
        <w:numPr>
          <w:ilvl w:val="0"/>
          <w:numId w:val="17"/>
        </w:numPr>
        <w:tabs>
          <w:tab w:val="left" w:pos="1134"/>
        </w:tabs>
        <w:ind w:left="0" w:firstLine="709"/>
        <w:contextualSpacing/>
        <w:jc w:val="both"/>
      </w:pPr>
      <w:r w:rsidRPr="00033F49">
        <w:t>Приведение качества электрической энергии, поставляемой гражданам, в соответствии с требованиями действующих технических регламент</w:t>
      </w:r>
      <w:r>
        <w:t>ов и государственных стандартов.</w:t>
      </w:r>
    </w:p>
    <w:p w:rsidR="00033F49" w:rsidRDefault="00033F49" w:rsidP="00033F49">
      <w:pPr>
        <w:tabs>
          <w:tab w:val="left" w:pos="0"/>
          <w:tab w:val="left" w:pos="993"/>
        </w:tabs>
        <w:ind w:left="709"/>
        <w:contextualSpacing/>
        <w:jc w:val="both"/>
        <w:rPr>
          <w:b/>
          <w:i/>
        </w:rPr>
      </w:pPr>
    </w:p>
    <w:p w:rsidR="00C32840" w:rsidRDefault="00C32840" w:rsidP="00033F49">
      <w:pPr>
        <w:tabs>
          <w:tab w:val="left" w:pos="0"/>
          <w:tab w:val="left" w:pos="993"/>
        </w:tabs>
        <w:ind w:left="709"/>
        <w:contextualSpacing/>
        <w:jc w:val="both"/>
        <w:rPr>
          <w:b/>
          <w:i/>
        </w:rPr>
      </w:pPr>
    </w:p>
    <w:p w:rsidR="00033F49" w:rsidRPr="00CF24A3" w:rsidRDefault="00033F49" w:rsidP="00CF24A3">
      <w:pPr>
        <w:pStyle w:val="a4"/>
        <w:numPr>
          <w:ilvl w:val="0"/>
          <w:numId w:val="19"/>
        </w:numPr>
        <w:tabs>
          <w:tab w:val="left" w:pos="0"/>
          <w:tab w:val="left" w:pos="993"/>
        </w:tabs>
        <w:jc w:val="both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 w:rsidRPr="009C6158">
        <w:rPr>
          <w:rFonts w:ascii="Times New Roman" w:hAnsi="Times New Roman"/>
          <w:b/>
          <w:i/>
          <w:color w:val="auto"/>
          <w:sz w:val="24"/>
          <w:szCs w:val="24"/>
          <w:lang w:val="ru-RU"/>
        </w:rPr>
        <w:t xml:space="preserve"> </w:t>
      </w:r>
      <w:r w:rsidRPr="00C32840">
        <w:rPr>
          <w:rFonts w:ascii="Times New Roman" w:hAnsi="Times New Roman"/>
          <w:b/>
          <w:color w:val="auto"/>
          <w:sz w:val="24"/>
          <w:szCs w:val="24"/>
          <w:lang w:val="ru-RU"/>
        </w:rPr>
        <w:t>Краткое описание планируемых к реализации</w:t>
      </w:r>
      <w:r w:rsidR="00CF24A3" w:rsidRPr="00CF24A3">
        <w:rPr>
          <w:rFonts w:ascii="Times New Roman" w:hAnsi="Times New Roman"/>
          <w:b/>
          <w:color w:val="auto"/>
          <w:sz w:val="24"/>
          <w:szCs w:val="24"/>
          <w:lang w:val="ru-RU"/>
        </w:rPr>
        <w:t xml:space="preserve"> </w:t>
      </w:r>
      <w:r w:rsidRPr="00CF24A3">
        <w:rPr>
          <w:rFonts w:ascii="Times New Roman" w:hAnsi="Times New Roman"/>
          <w:b/>
          <w:color w:val="auto"/>
          <w:sz w:val="24"/>
          <w:szCs w:val="24"/>
          <w:lang w:val="ru-RU"/>
        </w:rPr>
        <w:t>инвестиционных проектов</w:t>
      </w:r>
      <w:r w:rsidR="00C32840" w:rsidRPr="00CF24A3">
        <w:rPr>
          <w:rFonts w:ascii="Times New Roman" w:hAnsi="Times New Roman"/>
          <w:b/>
          <w:color w:val="auto"/>
          <w:sz w:val="24"/>
          <w:szCs w:val="24"/>
          <w:lang w:val="ru-RU"/>
        </w:rPr>
        <w:t xml:space="preserve"> приведено в презентации инвестиционной программы АО «УСК» на 2015-2021г.г.:</w:t>
      </w:r>
    </w:p>
    <w:p w:rsidR="00170A24" w:rsidRDefault="00170A24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170A24" w:rsidRDefault="00170A24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170A24" w:rsidRDefault="00170A24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170A24" w:rsidRDefault="00170A24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170A24" w:rsidRDefault="00170A24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170A24" w:rsidRDefault="00170A24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9268FB" w:rsidRDefault="009268FB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170A24" w:rsidRDefault="00170A24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170A24" w:rsidRDefault="00170A24" w:rsidP="00170A24">
      <w:pPr>
        <w:spacing w:line="240" w:lineRule="exact"/>
        <w:ind w:left="142"/>
        <w:jc w:val="both"/>
        <w:rPr>
          <w:rFonts w:eastAsiaTheme="minorHAnsi"/>
          <w:b/>
        </w:rPr>
      </w:pPr>
    </w:p>
    <w:p w:rsidR="00CA3EB7" w:rsidRDefault="00CA3EB7" w:rsidP="000D7386">
      <w:pPr>
        <w:spacing w:line="240" w:lineRule="exact"/>
        <w:ind w:left="142"/>
        <w:jc w:val="center"/>
        <w:rPr>
          <w:ins w:id="2" w:author="Гуреева Ирина Ивановна" w:date="2021-01-15T10:40:00Z"/>
          <w:b/>
          <w:sz w:val="28"/>
          <w:szCs w:val="28"/>
        </w:rPr>
      </w:pPr>
    </w:p>
    <w:p w:rsidR="003F0C83" w:rsidRPr="003F0C83" w:rsidRDefault="000D7386" w:rsidP="000D7386">
      <w:pPr>
        <w:spacing w:line="240" w:lineRule="exact"/>
        <w:ind w:left="142"/>
        <w:jc w:val="center"/>
        <w:rPr>
          <w:b/>
          <w:sz w:val="28"/>
          <w:szCs w:val="28"/>
        </w:rPr>
      </w:pPr>
      <w:r w:rsidRPr="003F0C83">
        <w:rPr>
          <w:b/>
          <w:sz w:val="28"/>
          <w:szCs w:val="28"/>
        </w:rPr>
        <w:t>Возможные риски при реализации</w:t>
      </w:r>
    </w:p>
    <w:p w:rsidR="000D7386" w:rsidRPr="003F0C83" w:rsidRDefault="000D7386" w:rsidP="000D7386">
      <w:pPr>
        <w:spacing w:line="240" w:lineRule="exact"/>
        <w:ind w:left="142"/>
        <w:jc w:val="center"/>
        <w:rPr>
          <w:b/>
          <w:sz w:val="28"/>
          <w:szCs w:val="28"/>
        </w:rPr>
      </w:pPr>
      <w:r w:rsidRPr="003F0C83">
        <w:rPr>
          <w:b/>
          <w:sz w:val="28"/>
          <w:szCs w:val="28"/>
        </w:rPr>
        <w:t xml:space="preserve"> инвестиционной программы</w:t>
      </w:r>
    </w:p>
    <w:p w:rsidR="000D7386" w:rsidRPr="000D7386" w:rsidRDefault="000D7386" w:rsidP="000D7386">
      <w:pPr>
        <w:autoSpaceDE w:val="0"/>
        <w:autoSpaceDN w:val="0"/>
        <w:adjustRightInd w:val="0"/>
        <w:spacing w:line="240" w:lineRule="atLeast"/>
        <w:jc w:val="both"/>
      </w:pPr>
    </w:p>
    <w:p w:rsidR="001E4580" w:rsidRDefault="001E4580" w:rsidP="000D7386">
      <w:pPr>
        <w:spacing w:line="240" w:lineRule="exact"/>
        <w:ind w:firstLine="709"/>
        <w:jc w:val="both"/>
        <w:rPr>
          <w:highlight w:val="green"/>
        </w:rPr>
      </w:pPr>
    </w:p>
    <w:p w:rsidR="000D7386" w:rsidRDefault="000D7386" w:rsidP="000D7386">
      <w:pPr>
        <w:spacing w:line="240" w:lineRule="exact"/>
        <w:ind w:firstLine="709"/>
        <w:jc w:val="both"/>
      </w:pPr>
      <w:r w:rsidRPr="001E4580">
        <w:t>Риск всегда предполагает вероятностный характер исхода, при этом в основном под словом риск чаще всего понимают </w:t>
      </w:r>
      <w:hyperlink r:id="rId6" w:tooltip="Вероятность" w:history="1">
        <w:r w:rsidRPr="001E4580">
          <w:t>вероятность</w:t>
        </w:r>
      </w:hyperlink>
      <w:r w:rsidRPr="001E4580">
        <w:t> получения неблагоприятного результата (потерь), хотя его можно описать и как вероятность получить результат, отличный от ожидаемого. В этом смысле становится возможным говорить и о риске убытков, и о риске сверхприбыли.</w:t>
      </w:r>
      <w:r w:rsidRPr="000D7386">
        <w:t xml:space="preserve"> </w:t>
      </w:r>
    </w:p>
    <w:p w:rsidR="0011440B" w:rsidRPr="0011440B" w:rsidRDefault="0011440B" w:rsidP="0011440B">
      <w:pPr>
        <w:ind w:firstLine="709"/>
        <w:jc w:val="both"/>
      </w:pPr>
      <w:r w:rsidRPr="0011440B">
        <w:t>Возникновение риска снижает расчетную эффективность инвестиционного проекта. Можно выделить следующие факторы возникновения рисков:</w:t>
      </w:r>
    </w:p>
    <w:p w:rsidR="0011440B" w:rsidRPr="0011440B" w:rsidRDefault="0011440B" w:rsidP="0011440B">
      <w:pPr>
        <w:ind w:firstLine="709"/>
        <w:jc w:val="both"/>
      </w:pPr>
      <w:r w:rsidRPr="0011440B">
        <w:t>- неполнота или неточность проектной информации о составе, значении, взаимном влиянии и динамике наиболее существенных технических, технологических или экономических параметров проекта;</w:t>
      </w:r>
    </w:p>
    <w:p w:rsidR="0011440B" w:rsidRPr="0011440B" w:rsidRDefault="0011440B" w:rsidP="0011440B">
      <w:pPr>
        <w:ind w:firstLine="709"/>
        <w:jc w:val="both"/>
      </w:pPr>
      <w:r w:rsidRPr="0011440B">
        <w:t xml:space="preserve"> - ошибки в расчетах параметров проекта из-за неточности или неправильного использования методов прогнозирования; - ошибки в расчетах экономических показателей или в использовании методики; - производственно-технологический риск (аварии, сбои в работе оборудования, нарушение технологического цикла ит.д.); </w:t>
      </w:r>
    </w:p>
    <w:p w:rsidR="0011440B" w:rsidRPr="0011440B" w:rsidRDefault="0011440B" w:rsidP="0011440B">
      <w:pPr>
        <w:ind w:firstLine="709"/>
        <w:jc w:val="both"/>
      </w:pPr>
      <w:r w:rsidRPr="0011440B">
        <w:t>- неполнота или неточность информации о финансовом положении и деловой репутации организаций-участников, что может повлечь неплатежи, банкротство, срыв договорных обязательств);</w:t>
      </w:r>
    </w:p>
    <w:p w:rsidR="0011440B" w:rsidRPr="0011440B" w:rsidRDefault="0011440B" w:rsidP="0011440B">
      <w:pPr>
        <w:ind w:firstLine="709"/>
        <w:jc w:val="both"/>
      </w:pPr>
      <w:r w:rsidRPr="0011440B">
        <w:t xml:space="preserve"> - неопределенность природно-климатических условий, возможность стихийных бедствий; - неопределенность политической ситуации, возможность неблагоприятных социально-политических изменений; - нестабильность экономического законодательства и текущей экономической ситуации, условий инвестирования и использования прибыли и т.д.</w:t>
      </w:r>
    </w:p>
    <w:p w:rsidR="0011440B" w:rsidRPr="0011440B" w:rsidRDefault="00DA0636" w:rsidP="0011440B">
      <w:pPr>
        <w:spacing w:line="240" w:lineRule="exact"/>
        <w:ind w:firstLine="709"/>
        <w:jc w:val="both"/>
      </w:pPr>
      <w:r>
        <w:t>Возможные р</w:t>
      </w:r>
      <w:r w:rsidR="0011440B" w:rsidRPr="0011440B">
        <w:t>иск</w:t>
      </w:r>
      <w:r>
        <w:t>и</w:t>
      </w:r>
      <w:r w:rsidR="0011440B" w:rsidRPr="0011440B">
        <w:t>, связанны</w:t>
      </w:r>
      <w:r>
        <w:t>е</w:t>
      </w:r>
      <w:r w:rsidR="0011440B" w:rsidRPr="0011440B">
        <w:t xml:space="preserve"> с реализацией инвестиционного проекта</w:t>
      </w:r>
      <w:r>
        <w:t>, представлены ниже</w:t>
      </w:r>
      <w:r w:rsidR="0011440B" w:rsidRPr="0011440B">
        <w:t xml:space="preserve">: </w:t>
      </w:r>
    </w:p>
    <w:p w:rsidR="0011440B" w:rsidRPr="003F0C83" w:rsidRDefault="0011440B" w:rsidP="000D7386">
      <w:pPr>
        <w:spacing w:line="240" w:lineRule="exact"/>
        <w:ind w:firstLine="709"/>
        <w:jc w:val="both"/>
      </w:pPr>
    </w:p>
    <w:p w:rsidR="0011440B" w:rsidRPr="003F0C83" w:rsidRDefault="0011440B" w:rsidP="003F0C83">
      <w:pPr>
        <w:pStyle w:val="a4"/>
        <w:numPr>
          <w:ilvl w:val="0"/>
          <w:numId w:val="21"/>
        </w:numPr>
        <w:spacing w:line="240" w:lineRule="exact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3F0C83">
        <w:rPr>
          <w:rFonts w:ascii="Times New Roman" w:hAnsi="Times New Roman"/>
          <w:b/>
          <w:color w:val="auto"/>
          <w:sz w:val="24"/>
          <w:szCs w:val="24"/>
        </w:rPr>
        <w:t xml:space="preserve">Страховой риск. </w:t>
      </w:r>
    </w:p>
    <w:p w:rsidR="0011440B" w:rsidRDefault="0011440B" w:rsidP="0011440B">
      <w:pPr>
        <w:spacing w:line="240" w:lineRule="exact"/>
        <w:ind w:firstLine="709"/>
        <w:jc w:val="both"/>
      </w:pPr>
    </w:p>
    <w:p w:rsidR="0011440B" w:rsidRPr="0011440B" w:rsidRDefault="0011440B" w:rsidP="0011440B">
      <w:pPr>
        <w:spacing w:line="240" w:lineRule="exact"/>
        <w:ind w:firstLine="709"/>
        <w:jc w:val="both"/>
      </w:pPr>
      <w:r w:rsidRPr="0011440B">
        <w:t xml:space="preserve">Страховой риск означает наступление таких событий, на которые организация не может повлиять. Такой риск заключатся в следующем:  конфискация имущества либо утеря права собственности при выкупе;  непредвиденные изменения законодательства, ухудшающего финансовые показатели проекта (например, увеличение налогов) и т.д.;  рост инфляции, превышающий уровень инфляции, учитываемый при расчетах Инвестиционной программы. Величина поправки на страховой риск оценивается экспертно. </w:t>
      </w:r>
    </w:p>
    <w:p w:rsidR="0011440B" w:rsidRPr="003F0C83" w:rsidRDefault="0011440B" w:rsidP="0011440B">
      <w:pPr>
        <w:spacing w:line="240" w:lineRule="exact"/>
        <w:ind w:firstLine="709"/>
        <w:jc w:val="both"/>
        <w:rPr>
          <w:b/>
        </w:rPr>
      </w:pPr>
    </w:p>
    <w:p w:rsidR="0011440B" w:rsidRPr="003F0C83" w:rsidRDefault="0011440B" w:rsidP="003F0C83">
      <w:pPr>
        <w:pStyle w:val="a4"/>
        <w:numPr>
          <w:ilvl w:val="0"/>
          <w:numId w:val="21"/>
        </w:numPr>
        <w:spacing w:line="240" w:lineRule="exact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3F0C83">
        <w:rPr>
          <w:rFonts w:ascii="Times New Roman" w:hAnsi="Times New Roman"/>
          <w:b/>
          <w:color w:val="auto"/>
          <w:sz w:val="24"/>
          <w:szCs w:val="24"/>
        </w:rPr>
        <w:t>Риск ненадежности участников проекта.</w:t>
      </w:r>
    </w:p>
    <w:p w:rsidR="0011440B" w:rsidRPr="0011440B" w:rsidRDefault="0011440B" w:rsidP="0011440B">
      <w:pPr>
        <w:spacing w:line="240" w:lineRule="exact"/>
        <w:ind w:firstLine="709"/>
        <w:jc w:val="both"/>
      </w:pPr>
      <w:r w:rsidRPr="0011440B">
        <w:t>Риск ненадежности участников проекта предполагается в возможности непредвиденного прекращения реализации проекта, обусловленного:  нецелевым расходованием средств, предназначенных для инвестирования в данный проект или для создания финансовых резервов;  финансовой неустойчивостью фирмы, реализующей проект (необеспеченность оборотными средствами, отсутствие активов, обеспечивающих возврат заемных средств, и т.д.);  неплатежеспособностью, недобросовестностью, юридической недееспособностью других участников проекта (строительных организаций, поставщиков, потребителей и т.д.).</w:t>
      </w:r>
    </w:p>
    <w:p w:rsidR="0011440B" w:rsidRDefault="0011440B" w:rsidP="0011440B">
      <w:pPr>
        <w:spacing w:line="240" w:lineRule="exact"/>
        <w:ind w:firstLine="709"/>
        <w:jc w:val="both"/>
      </w:pPr>
    </w:p>
    <w:p w:rsidR="003F0C83" w:rsidRPr="003F0C83" w:rsidRDefault="0011440B" w:rsidP="003F0C83">
      <w:pPr>
        <w:pStyle w:val="a4"/>
        <w:numPr>
          <w:ilvl w:val="0"/>
          <w:numId w:val="22"/>
        </w:numPr>
        <w:spacing w:line="240" w:lineRule="exact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3F0C83">
        <w:rPr>
          <w:rFonts w:ascii="Times New Roman" w:hAnsi="Times New Roman"/>
          <w:b/>
          <w:color w:val="auto"/>
          <w:sz w:val="24"/>
          <w:szCs w:val="24"/>
        </w:rPr>
        <w:t>Риск неполучения предусмотренных проектом</w:t>
      </w:r>
    </w:p>
    <w:p w:rsidR="0011440B" w:rsidRPr="003F0C83" w:rsidRDefault="0011440B" w:rsidP="003F0C83">
      <w:pPr>
        <w:pStyle w:val="a4"/>
        <w:spacing w:line="240" w:lineRule="exact"/>
        <w:ind w:left="142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3F0C83">
        <w:rPr>
          <w:rFonts w:ascii="Times New Roman" w:hAnsi="Times New Roman"/>
          <w:b/>
          <w:color w:val="auto"/>
          <w:sz w:val="24"/>
          <w:szCs w:val="24"/>
        </w:rPr>
        <w:t xml:space="preserve">финансовых результатов. </w:t>
      </w:r>
    </w:p>
    <w:p w:rsidR="0011440B" w:rsidRDefault="0011440B" w:rsidP="0011440B">
      <w:pPr>
        <w:spacing w:line="240" w:lineRule="exact"/>
        <w:ind w:firstLine="709"/>
        <w:jc w:val="both"/>
      </w:pPr>
    </w:p>
    <w:p w:rsidR="0011440B" w:rsidRDefault="0011440B" w:rsidP="0011440B">
      <w:pPr>
        <w:spacing w:line="240" w:lineRule="exact"/>
        <w:ind w:firstLine="709"/>
        <w:jc w:val="both"/>
      </w:pPr>
      <w:r w:rsidRPr="0011440B">
        <w:t xml:space="preserve">Риск неполучения предусмотренных проектом </w:t>
      </w:r>
      <w:r>
        <w:t>финансовых результатов</w:t>
      </w:r>
      <w:r w:rsidR="009268FB">
        <w:t xml:space="preserve"> обусловлен</w:t>
      </w:r>
      <w:r w:rsidRPr="0011440B">
        <w:t xml:space="preserve">  техническими, технологическими и организационными решениями;  временные разрывы между периодом поступления денежных средств по договорам на </w:t>
      </w:r>
      <w:r w:rsidR="00CA3EB7">
        <w:t xml:space="preserve">технологическое </w:t>
      </w:r>
      <w:r w:rsidR="00CA3EB7">
        <w:lastRenderedPageBreak/>
        <w:t>присоединение</w:t>
      </w:r>
      <w:r w:rsidRPr="0011440B">
        <w:t xml:space="preserve"> и сроками финансирования строительства объектов (превышающие запланированные) и т.д.</w:t>
      </w:r>
    </w:p>
    <w:p w:rsidR="009268FB" w:rsidRDefault="009268FB" w:rsidP="0011440B">
      <w:pPr>
        <w:spacing w:line="240" w:lineRule="exact"/>
        <w:ind w:firstLine="709"/>
        <w:jc w:val="both"/>
      </w:pPr>
    </w:p>
    <w:p w:rsidR="00170A24" w:rsidRDefault="00170A24" w:rsidP="0011440B">
      <w:pPr>
        <w:spacing w:line="240" w:lineRule="exact"/>
        <w:ind w:firstLine="709"/>
        <w:jc w:val="both"/>
      </w:pPr>
    </w:p>
    <w:p w:rsidR="001E4580" w:rsidRPr="003F0C83" w:rsidRDefault="001E4580" w:rsidP="003F0C83">
      <w:pPr>
        <w:pStyle w:val="a4"/>
        <w:numPr>
          <w:ilvl w:val="0"/>
          <w:numId w:val="23"/>
        </w:numPr>
        <w:spacing w:before="100" w:beforeAutospacing="1" w:after="100" w:afterAutospacing="1"/>
        <w:outlineLvl w:val="3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F0C83">
        <w:rPr>
          <w:rFonts w:ascii="Times New Roman" w:hAnsi="Times New Roman"/>
          <w:b/>
          <w:bCs/>
          <w:color w:val="auto"/>
          <w:sz w:val="24"/>
          <w:szCs w:val="24"/>
        </w:rPr>
        <w:t>Маркетинговый риск</w:t>
      </w:r>
    </w:p>
    <w:p w:rsidR="00B85F4F" w:rsidRPr="00DA0636" w:rsidRDefault="001E4580" w:rsidP="00B85F4F">
      <w:pPr>
        <w:spacing w:line="240" w:lineRule="exact"/>
        <w:ind w:firstLine="709"/>
        <w:jc w:val="both"/>
      </w:pPr>
      <w:r w:rsidRPr="00DA0636">
        <w:t>Этот риск является одним из наиболее значимых для большинства инвестиционных проектов. Ошибки в планировании маркетинговой стратегии возникают главным образом из-за недостаточного изучения потребностей рынка: неправильного позиционирования товара, неверной оценки конкурентоспособности рынка или неправильного ценообразования.</w:t>
      </w:r>
    </w:p>
    <w:p w:rsidR="001E4580" w:rsidRPr="00DA0636" w:rsidRDefault="001E4580" w:rsidP="00B85F4F">
      <w:pPr>
        <w:spacing w:line="240" w:lineRule="exact"/>
        <w:ind w:firstLine="709"/>
        <w:jc w:val="both"/>
      </w:pPr>
      <w:r w:rsidRPr="00DA0636">
        <w:t xml:space="preserve">Избежать подобной ситуации можно в первую очередь за счет всесторонней оценки рыночной среды </w:t>
      </w:r>
      <w:r w:rsidR="00B85F4F" w:rsidRPr="00DA0636">
        <w:t xml:space="preserve"> специалистами по маркетингу ОМТС.</w:t>
      </w:r>
    </w:p>
    <w:p w:rsidR="00B85F4F" w:rsidRPr="00DA0636" w:rsidRDefault="00B85F4F" w:rsidP="00B85F4F">
      <w:pPr>
        <w:spacing w:line="240" w:lineRule="exact"/>
        <w:ind w:firstLine="709"/>
        <w:jc w:val="both"/>
      </w:pPr>
    </w:p>
    <w:p w:rsidR="003F0C83" w:rsidRPr="003F0C83" w:rsidRDefault="00B85F4F" w:rsidP="003F0C83">
      <w:pPr>
        <w:pStyle w:val="a3"/>
        <w:numPr>
          <w:ilvl w:val="0"/>
          <w:numId w:val="24"/>
        </w:numPr>
        <w:ind w:left="1560" w:hanging="284"/>
        <w:rPr>
          <w:b/>
        </w:rPr>
      </w:pPr>
      <w:r w:rsidRPr="003F0C83">
        <w:rPr>
          <w:b/>
        </w:rPr>
        <w:t xml:space="preserve">Риски несоблюдения графика </w:t>
      </w:r>
    </w:p>
    <w:p w:rsidR="00B85F4F" w:rsidRPr="003F0C83" w:rsidRDefault="003F0C83" w:rsidP="003F0C83">
      <w:pPr>
        <w:pStyle w:val="a3"/>
        <w:ind w:left="720"/>
        <w:rPr>
          <w:b/>
        </w:rPr>
      </w:pPr>
      <w:r>
        <w:rPr>
          <w:b/>
        </w:rPr>
        <w:t xml:space="preserve">              </w:t>
      </w:r>
      <w:r w:rsidR="00B85F4F" w:rsidRPr="003F0C83">
        <w:rPr>
          <w:b/>
        </w:rPr>
        <w:t>и превышения бюджета проекта</w:t>
      </w:r>
    </w:p>
    <w:p w:rsidR="003F0C83" w:rsidRPr="00DA0636" w:rsidRDefault="003F0C83" w:rsidP="003F0C83">
      <w:pPr>
        <w:pStyle w:val="a3"/>
      </w:pPr>
    </w:p>
    <w:p w:rsidR="00B85F4F" w:rsidRPr="00DA0636" w:rsidRDefault="00B85F4F" w:rsidP="00CF24A3">
      <w:pPr>
        <w:ind w:firstLine="851"/>
        <w:jc w:val="both"/>
      </w:pPr>
      <w:r w:rsidRPr="00DA0636">
        <w:t xml:space="preserve">Причины возникновения таких рисков могут быть объективными (например, изменение </w:t>
      </w:r>
      <w:r w:rsidR="007A054B" w:rsidRPr="00DA0636">
        <w:t xml:space="preserve">цен на </w:t>
      </w:r>
      <w:r w:rsidRPr="00DA0636">
        <w:t>поставк</w:t>
      </w:r>
      <w:r w:rsidR="007A054B" w:rsidRPr="00DA0636">
        <w:t>у</w:t>
      </w:r>
      <w:r w:rsidRPr="00DA0636">
        <w:t xml:space="preserve"> оборудования</w:t>
      </w:r>
      <w:r w:rsidR="007A054B" w:rsidRPr="00DA0636">
        <w:t xml:space="preserve"> и </w:t>
      </w:r>
      <w:r w:rsidRPr="00DA0636">
        <w:t xml:space="preserve">как следствие, задержка </w:t>
      </w:r>
      <w:r w:rsidR="00DA0636" w:rsidRPr="00DA0636">
        <w:t>товара</w:t>
      </w:r>
      <w:r w:rsidRPr="00DA0636">
        <w:t>) и субъективными</w:t>
      </w:r>
      <w:r w:rsidR="00CF24A3" w:rsidRPr="00CF24A3">
        <w:t xml:space="preserve"> </w:t>
      </w:r>
      <w:r w:rsidR="00CF24A3">
        <w:t>(</w:t>
      </w:r>
      <w:r w:rsidRPr="00DA0636">
        <w:t>например, недостаточная проработка и несогласованность работ по реализации проекта). Риск несоблюдения графика проекта приводит к увеличению срока его окупаемости как напрямую, так и за счет недополученно</w:t>
      </w:r>
      <w:r w:rsidR="00DA0636" w:rsidRPr="00DA0636">
        <w:t>го результата</w:t>
      </w:r>
      <w:r w:rsidRPr="00DA0636">
        <w:t>.</w:t>
      </w:r>
    </w:p>
    <w:p w:rsidR="001E4580" w:rsidRPr="00DA0636" w:rsidRDefault="001E4580" w:rsidP="0011440B">
      <w:pPr>
        <w:spacing w:line="240" w:lineRule="exact"/>
        <w:ind w:firstLine="709"/>
        <w:jc w:val="both"/>
      </w:pPr>
    </w:p>
    <w:p w:rsidR="001E4580" w:rsidRPr="001E4580" w:rsidRDefault="001E4580" w:rsidP="001E4580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DA0636">
        <w:rPr>
          <w:rFonts w:ascii="Times New Roman" w:hAnsi="Times New Roman"/>
          <w:color w:val="auto"/>
          <w:sz w:val="24"/>
          <w:szCs w:val="24"/>
          <w:lang w:val="ru-RU"/>
        </w:rPr>
        <w:t xml:space="preserve">Для минимизации последствий в случае наступления рисков </w:t>
      </w:r>
      <w:r w:rsidR="00DA0636">
        <w:rPr>
          <w:rFonts w:ascii="Times New Roman" w:hAnsi="Times New Roman"/>
          <w:color w:val="auto"/>
          <w:sz w:val="24"/>
          <w:szCs w:val="24"/>
          <w:lang w:val="ru-RU"/>
        </w:rPr>
        <w:t>необходима</w:t>
      </w:r>
      <w:r w:rsidRPr="00DA0636">
        <w:rPr>
          <w:rFonts w:ascii="Times New Roman" w:hAnsi="Times New Roman"/>
          <w:color w:val="auto"/>
          <w:sz w:val="24"/>
          <w:szCs w:val="24"/>
          <w:lang w:val="ru-RU"/>
        </w:rPr>
        <w:t xml:space="preserve"> корректировка Инвестиционной программы в рамках </w:t>
      </w:r>
      <w:r w:rsidR="00DA0636" w:rsidRPr="00DA0636">
        <w:rPr>
          <w:rFonts w:ascii="Times New Roman" w:hAnsi="Times New Roman"/>
          <w:color w:val="auto"/>
          <w:sz w:val="24"/>
          <w:szCs w:val="24"/>
          <w:lang w:val="ru-RU"/>
        </w:rPr>
        <w:t>норм действующего законодательства</w:t>
      </w:r>
      <w:r w:rsidRPr="00DA0636">
        <w:rPr>
          <w:rFonts w:ascii="Times New Roman" w:hAnsi="Times New Roman"/>
          <w:color w:val="auto"/>
          <w:sz w:val="24"/>
          <w:szCs w:val="24"/>
          <w:lang w:val="ru-RU"/>
        </w:rPr>
        <w:t>.</w:t>
      </w:r>
    </w:p>
    <w:p w:rsidR="001E4580" w:rsidRPr="001E4580" w:rsidRDefault="001E4580" w:rsidP="001E4580">
      <w:pPr>
        <w:spacing w:line="240" w:lineRule="exact"/>
        <w:ind w:firstLine="709"/>
        <w:jc w:val="both"/>
      </w:pPr>
    </w:p>
    <w:p w:rsidR="0011440B" w:rsidRDefault="0011440B" w:rsidP="001E4580">
      <w:pPr>
        <w:pStyle w:val="a3"/>
        <w:tabs>
          <w:tab w:val="left" w:pos="567"/>
        </w:tabs>
        <w:spacing w:line="240" w:lineRule="exact"/>
        <w:ind w:firstLine="709"/>
        <w:jc w:val="both"/>
        <w:rPr>
          <w:b/>
        </w:rPr>
      </w:pPr>
    </w:p>
    <w:p w:rsidR="0011440B" w:rsidRPr="0011440B" w:rsidRDefault="0011440B" w:rsidP="0011440B">
      <w:pPr>
        <w:pStyle w:val="a3"/>
        <w:tabs>
          <w:tab w:val="left" w:pos="567"/>
        </w:tabs>
        <w:spacing w:line="240" w:lineRule="exact"/>
        <w:ind w:left="720"/>
        <w:jc w:val="both"/>
        <w:rPr>
          <w:b/>
        </w:rPr>
      </w:pPr>
    </w:p>
    <w:p w:rsidR="0011440B" w:rsidRPr="000D7386" w:rsidRDefault="0011440B" w:rsidP="0011440B">
      <w:pPr>
        <w:spacing w:line="240" w:lineRule="exact"/>
        <w:jc w:val="both"/>
      </w:pPr>
    </w:p>
    <w:p w:rsidR="000D7386" w:rsidRDefault="000D7386" w:rsidP="000D7386">
      <w:pPr>
        <w:autoSpaceDE w:val="0"/>
        <w:autoSpaceDN w:val="0"/>
        <w:adjustRightInd w:val="0"/>
        <w:spacing w:line="240" w:lineRule="atLeast"/>
        <w:jc w:val="both"/>
      </w:pPr>
    </w:p>
    <w:sectPr w:rsidR="000D7386" w:rsidSect="007565C7">
      <w:pgSz w:w="11907" w:h="16839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21344_"/>
      </v:shape>
    </w:pict>
  </w:numPicBullet>
  <w:abstractNum w:abstractNumId="0">
    <w:nsid w:val="06A637BD"/>
    <w:multiLevelType w:val="hybridMultilevel"/>
    <w:tmpl w:val="79704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A685D"/>
    <w:multiLevelType w:val="hybridMultilevel"/>
    <w:tmpl w:val="5AEEDF22"/>
    <w:lvl w:ilvl="0" w:tplc="74985EF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E7286C"/>
    <w:multiLevelType w:val="hybridMultilevel"/>
    <w:tmpl w:val="9984FB48"/>
    <w:lvl w:ilvl="0" w:tplc="B9D6C6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EB97663"/>
    <w:multiLevelType w:val="hybridMultilevel"/>
    <w:tmpl w:val="3E826524"/>
    <w:lvl w:ilvl="0" w:tplc="6F081D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3A2345"/>
    <w:multiLevelType w:val="multilevel"/>
    <w:tmpl w:val="9A58C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2515831"/>
    <w:multiLevelType w:val="hybridMultilevel"/>
    <w:tmpl w:val="22A689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B36BB5"/>
    <w:multiLevelType w:val="hybridMultilevel"/>
    <w:tmpl w:val="BA6E91DC"/>
    <w:lvl w:ilvl="0" w:tplc="0419000F">
      <w:start w:val="1"/>
      <w:numFmt w:val="decimal"/>
      <w:lvlText w:val="%1."/>
      <w:lvlJc w:val="left"/>
      <w:pPr>
        <w:ind w:left="1148" w:hanging="360"/>
      </w:p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7">
    <w:nsid w:val="13FA0E52"/>
    <w:multiLevelType w:val="hybridMultilevel"/>
    <w:tmpl w:val="3616446E"/>
    <w:lvl w:ilvl="0" w:tplc="0419000D">
      <w:start w:val="1"/>
      <w:numFmt w:val="bullet"/>
      <w:lvlText w:val=""/>
      <w:lvlJc w:val="left"/>
      <w:pPr>
        <w:ind w:left="160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8">
    <w:nsid w:val="19E5282C"/>
    <w:multiLevelType w:val="hybridMultilevel"/>
    <w:tmpl w:val="E6364908"/>
    <w:lvl w:ilvl="0" w:tplc="505AF21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3FDD"/>
    <w:multiLevelType w:val="hybridMultilevel"/>
    <w:tmpl w:val="6F1AB380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1C1D2B31"/>
    <w:multiLevelType w:val="hybridMultilevel"/>
    <w:tmpl w:val="DC2C2666"/>
    <w:lvl w:ilvl="0" w:tplc="DD8031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BD7C4D"/>
    <w:multiLevelType w:val="hybridMultilevel"/>
    <w:tmpl w:val="79F048D8"/>
    <w:lvl w:ilvl="0" w:tplc="8D242B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25C4B12"/>
    <w:multiLevelType w:val="hybridMultilevel"/>
    <w:tmpl w:val="4642D464"/>
    <w:lvl w:ilvl="0" w:tplc="87B49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4F478F"/>
    <w:multiLevelType w:val="hybridMultilevel"/>
    <w:tmpl w:val="CB8AE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D385D"/>
    <w:multiLevelType w:val="hybridMultilevel"/>
    <w:tmpl w:val="2090A0F6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5">
    <w:nsid w:val="3DAA74D1"/>
    <w:multiLevelType w:val="hybridMultilevel"/>
    <w:tmpl w:val="F3580E36"/>
    <w:lvl w:ilvl="0" w:tplc="778490A8">
      <w:start w:val="1"/>
      <w:numFmt w:val="upperRoman"/>
      <w:lvlText w:val="%1."/>
      <w:lvlJc w:val="left"/>
      <w:pPr>
        <w:tabs>
          <w:tab w:val="num" w:pos="2280"/>
        </w:tabs>
        <w:ind w:left="22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6">
    <w:nsid w:val="458B2A95"/>
    <w:multiLevelType w:val="hybridMultilevel"/>
    <w:tmpl w:val="A364D9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CA3A0C"/>
    <w:multiLevelType w:val="hybridMultilevel"/>
    <w:tmpl w:val="A67A273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765194A"/>
    <w:multiLevelType w:val="hybridMultilevel"/>
    <w:tmpl w:val="CDA6E25C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64CE6E01"/>
    <w:multiLevelType w:val="hybridMultilevel"/>
    <w:tmpl w:val="4FB2E12A"/>
    <w:lvl w:ilvl="0" w:tplc="927889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1D2219"/>
    <w:multiLevelType w:val="hybridMultilevel"/>
    <w:tmpl w:val="94F85C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7BB4125"/>
    <w:multiLevelType w:val="hybridMultilevel"/>
    <w:tmpl w:val="FAA06182"/>
    <w:lvl w:ilvl="0" w:tplc="DD803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674A7"/>
    <w:multiLevelType w:val="hybridMultilevel"/>
    <w:tmpl w:val="BE22A19A"/>
    <w:lvl w:ilvl="0" w:tplc="0419000D">
      <w:start w:val="1"/>
      <w:numFmt w:val="bullet"/>
      <w:lvlText w:val=""/>
      <w:lvlJc w:val="left"/>
      <w:pPr>
        <w:ind w:left="155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23">
    <w:nsid w:val="76986E0F"/>
    <w:multiLevelType w:val="hybridMultilevel"/>
    <w:tmpl w:val="1FA432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E03199"/>
    <w:multiLevelType w:val="hybridMultilevel"/>
    <w:tmpl w:val="F8102B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94A6B46"/>
    <w:multiLevelType w:val="hybridMultilevel"/>
    <w:tmpl w:val="2E12BB18"/>
    <w:lvl w:ilvl="0" w:tplc="F23C9DB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CB001C"/>
    <w:multiLevelType w:val="hybridMultilevel"/>
    <w:tmpl w:val="6D141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302E43"/>
    <w:multiLevelType w:val="hybridMultilevel"/>
    <w:tmpl w:val="6B18DF32"/>
    <w:lvl w:ilvl="0" w:tplc="15F4768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>
    <w:nsid w:val="7F472708"/>
    <w:multiLevelType w:val="hybridMultilevel"/>
    <w:tmpl w:val="5ECEA0E6"/>
    <w:lvl w:ilvl="0" w:tplc="FA66AEAA">
      <w:start w:val="1"/>
      <w:numFmt w:val="decimal"/>
      <w:lvlText w:val="%1."/>
      <w:lvlJc w:val="left"/>
      <w:pPr>
        <w:ind w:left="1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28"/>
  </w:num>
  <w:num w:numId="5">
    <w:abstractNumId w:val="19"/>
  </w:num>
  <w:num w:numId="6">
    <w:abstractNumId w:val="27"/>
  </w:num>
  <w:num w:numId="7">
    <w:abstractNumId w:val="13"/>
  </w:num>
  <w:num w:numId="8">
    <w:abstractNumId w:val="8"/>
  </w:num>
  <w:num w:numId="9">
    <w:abstractNumId w:val="26"/>
  </w:num>
  <w:num w:numId="10">
    <w:abstractNumId w:val="4"/>
  </w:num>
  <w:num w:numId="11">
    <w:abstractNumId w:val="11"/>
  </w:num>
  <w:num w:numId="12">
    <w:abstractNumId w:val="25"/>
  </w:num>
  <w:num w:numId="13">
    <w:abstractNumId w:val="0"/>
  </w:num>
  <w:num w:numId="14">
    <w:abstractNumId w:val="10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8"/>
  </w:num>
  <w:num w:numId="20">
    <w:abstractNumId w:val="9"/>
  </w:num>
  <w:num w:numId="21">
    <w:abstractNumId w:val="22"/>
  </w:num>
  <w:num w:numId="22">
    <w:abstractNumId w:val="24"/>
  </w:num>
  <w:num w:numId="23">
    <w:abstractNumId w:val="7"/>
  </w:num>
  <w:num w:numId="24">
    <w:abstractNumId w:val="23"/>
  </w:num>
  <w:num w:numId="25">
    <w:abstractNumId w:val="20"/>
  </w:num>
  <w:num w:numId="26">
    <w:abstractNumId w:val="5"/>
  </w:num>
  <w:num w:numId="27">
    <w:abstractNumId w:val="16"/>
  </w:num>
  <w:num w:numId="28">
    <w:abstractNumId w:val="2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efaultTabStop w:val="708"/>
  <w:drawingGridHorizontalSpacing w:val="120"/>
  <w:displayHorizontalDrawingGridEvery w:val="2"/>
  <w:characterSpacingControl w:val="doNotCompress"/>
  <w:compat/>
  <w:rsids>
    <w:rsidRoot w:val="00001688"/>
    <w:rsid w:val="00001688"/>
    <w:rsid w:val="00005D0E"/>
    <w:rsid w:val="00013117"/>
    <w:rsid w:val="000134C3"/>
    <w:rsid w:val="000223D2"/>
    <w:rsid w:val="0002480C"/>
    <w:rsid w:val="00033C0F"/>
    <w:rsid w:val="00033F49"/>
    <w:rsid w:val="00046082"/>
    <w:rsid w:val="00051513"/>
    <w:rsid w:val="00094EBD"/>
    <w:rsid w:val="000A1960"/>
    <w:rsid w:val="000B558E"/>
    <w:rsid w:val="000D5A47"/>
    <w:rsid w:val="000D7386"/>
    <w:rsid w:val="000F31EA"/>
    <w:rsid w:val="00100683"/>
    <w:rsid w:val="00105CCA"/>
    <w:rsid w:val="0011440B"/>
    <w:rsid w:val="00121A54"/>
    <w:rsid w:val="00134291"/>
    <w:rsid w:val="00162822"/>
    <w:rsid w:val="00162ECE"/>
    <w:rsid w:val="00170A24"/>
    <w:rsid w:val="0017218D"/>
    <w:rsid w:val="00176FDB"/>
    <w:rsid w:val="00182E2A"/>
    <w:rsid w:val="001A7325"/>
    <w:rsid w:val="001B4D57"/>
    <w:rsid w:val="001E4580"/>
    <w:rsid w:val="001F0FBB"/>
    <w:rsid w:val="001F27EB"/>
    <w:rsid w:val="00204290"/>
    <w:rsid w:val="00213711"/>
    <w:rsid w:val="00242F79"/>
    <w:rsid w:val="0028504E"/>
    <w:rsid w:val="00294F44"/>
    <w:rsid w:val="002B170A"/>
    <w:rsid w:val="002B2946"/>
    <w:rsid w:val="002C6E55"/>
    <w:rsid w:val="002D3821"/>
    <w:rsid w:val="002E1417"/>
    <w:rsid w:val="002F129D"/>
    <w:rsid w:val="00311B06"/>
    <w:rsid w:val="003317E8"/>
    <w:rsid w:val="003357F0"/>
    <w:rsid w:val="0034279E"/>
    <w:rsid w:val="0034565D"/>
    <w:rsid w:val="003628B4"/>
    <w:rsid w:val="003843D4"/>
    <w:rsid w:val="00387EA4"/>
    <w:rsid w:val="003B55FA"/>
    <w:rsid w:val="003D58F5"/>
    <w:rsid w:val="003E7A5E"/>
    <w:rsid w:val="003E7D89"/>
    <w:rsid w:val="003F0C83"/>
    <w:rsid w:val="0040124D"/>
    <w:rsid w:val="00402645"/>
    <w:rsid w:val="00403BBD"/>
    <w:rsid w:val="00405350"/>
    <w:rsid w:val="0041386E"/>
    <w:rsid w:val="0043000C"/>
    <w:rsid w:val="00434FA0"/>
    <w:rsid w:val="004610A1"/>
    <w:rsid w:val="0046784D"/>
    <w:rsid w:val="00482C47"/>
    <w:rsid w:val="004C4F48"/>
    <w:rsid w:val="00543194"/>
    <w:rsid w:val="005776D8"/>
    <w:rsid w:val="005A6BCA"/>
    <w:rsid w:val="005C2384"/>
    <w:rsid w:val="005C3936"/>
    <w:rsid w:val="005C3955"/>
    <w:rsid w:val="005C55FD"/>
    <w:rsid w:val="005C652B"/>
    <w:rsid w:val="005C7561"/>
    <w:rsid w:val="005E7809"/>
    <w:rsid w:val="006026EB"/>
    <w:rsid w:val="00646F72"/>
    <w:rsid w:val="0065009F"/>
    <w:rsid w:val="00650566"/>
    <w:rsid w:val="006518FA"/>
    <w:rsid w:val="0065258B"/>
    <w:rsid w:val="006736E2"/>
    <w:rsid w:val="0068743F"/>
    <w:rsid w:val="00695777"/>
    <w:rsid w:val="006A34B9"/>
    <w:rsid w:val="006A4555"/>
    <w:rsid w:val="006A6AB1"/>
    <w:rsid w:val="006A6ADB"/>
    <w:rsid w:val="006F6D08"/>
    <w:rsid w:val="00702E3C"/>
    <w:rsid w:val="007565C7"/>
    <w:rsid w:val="00765FE7"/>
    <w:rsid w:val="007A054B"/>
    <w:rsid w:val="007B7510"/>
    <w:rsid w:val="007E3C4F"/>
    <w:rsid w:val="00807F0A"/>
    <w:rsid w:val="00813DE2"/>
    <w:rsid w:val="00834A88"/>
    <w:rsid w:val="00845E90"/>
    <w:rsid w:val="00852970"/>
    <w:rsid w:val="00864004"/>
    <w:rsid w:val="008915EB"/>
    <w:rsid w:val="008B1AD1"/>
    <w:rsid w:val="008C6DC2"/>
    <w:rsid w:val="008D146E"/>
    <w:rsid w:val="008D3314"/>
    <w:rsid w:val="008F19BC"/>
    <w:rsid w:val="008F7EB7"/>
    <w:rsid w:val="00902B7E"/>
    <w:rsid w:val="0090558A"/>
    <w:rsid w:val="009268FB"/>
    <w:rsid w:val="009321D2"/>
    <w:rsid w:val="009435E6"/>
    <w:rsid w:val="00955D94"/>
    <w:rsid w:val="00972784"/>
    <w:rsid w:val="00972DA5"/>
    <w:rsid w:val="009C15C4"/>
    <w:rsid w:val="009C2033"/>
    <w:rsid w:val="009C6158"/>
    <w:rsid w:val="009E622D"/>
    <w:rsid w:val="00A1290B"/>
    <w:rsid w:val="00A24220"/>
    <w:rsid w:val="00A24B93"/>
    <w:rsid w:val="00A4480C"/>
    <w:rsid w:val="00A55159"/>
    <w:rsid w:val="00A761E1"/>
    <w:rsid w:val="00A80456"/>
    <w:rsid w:val="00A81CE0"/>
    <w:rsid w:val="00A8676D"/>
    <w:rsid w:val="00AA3434"/>
    <w:rsid w:val="00AA3CD8"/>
    <w:rsid w:val="00AA7CBB"/>
    <w:rsid w:val="00AB6B2A"/>
    <w:rsid w:val="00AE1B9F"/>
    <w:rsid w:val="00AE2791"/>
    <w:rsid w:val="00AE7EA3"/>
    <w:rsid w:val="00AF621D"/>
    <w:rsid w:val="00B329B3"/>
    <w:rsid w:val="00B3721E"/>
    <w:rsid w:val="00B479A8"/>
    <w:rsid w:val="00B572EE"/>
    <w:rsid w:val="00B575F2"/>
    <w:rsid w:val="00B85060"/>
    <w:rsid w:val="00B85F4F"/>
    <w:rsid w:val="00BA11F4"/>
    <w:rsid w:val="00BA4EB6"/>
    <w:rsid w:val="00BA50BE"/>
    <w:rsid w:val="00BA5C00"/>
    <w:rsid w:val="00BA7A33"/>
    <w:rsid w:val="00BB0D58"/>
    <w:rsid w:val="00BB32EE"/>
    <w:rsid w:val="00BB63FC"/>
    <w:rsid w:val="00BB7201"/>
    <w:rsid w:val="00BB7FB2"/>
    <w:rsid w:val="00BC2338"/>
    <w:rsid w:val="00BE6EBA"/>
    <w:rsid w:val="00BF5CE6"/>
    <w:rsid w:val="00C03E99"/>
    <w:rsid w:val="00C04DBD"/>
    <w:rsid w:val="00C06C81"/>
    <w:rsid w:val="00C10E1C"/>
    <w:rsid w:val="00C2114D"/>
    <w:rsid w:val="00C32840"/>
    <w:rsid w:val="00C33E4D"/>
    <w:rsid w:val="00C35228"/>
    <w:rsid w:val="00C42A06"/>
    <w:rsid w:val="00C4315A"/>
    <w:rsid w:val="00C62982"/>
    <w:rsid w:val="00C629F4"/>
    <w:rsid w:val="00C6547E"/>
    <w:rsid w:val="00C71820"/>
    <w:rsid w:val="00C816A4"/>
    <w:rsid w:val="00C901B9"/>
    <w:rsid w:val="00CA1038"/>
    <w:rsid w:val="00CA3EB7"/>
    <w:rsid w:val="00CF24A3"/>
    <w:rsid w:val="00D00FBE"/>
    <w:rsid w:val="00D20E83"/>
    <w:rsid w:val="00D40425"/>
    <w:rsid w:val="00D455A8"/>
    <w:rsid w:val="00D73048"/>
    <w:rsid w:val="00D8711D"/>
    <w:rsid w:val="00D90D83"/>
    <w:rsid w:val="00D97AF4"/>
    <w:rsid w:val="00DA0636"/>
    <w:rsid w:val="00DC0DED"/>
    <w:rsid w:val="00DC56B4"/>
    <w:rsid w:val="00DC6347"/>
    <w:rsid w:val="00DD74EF"/>
    <w:rsid w:val="00DE0979"/>
    <w:rsid w:val="00DE0E87"/>
    <w:rsid w:val="00DF434F"/>
    <w:rsid w:val="00E0391A"/>
    <w:rsid w:val="00E047CE"/>
    <w:rsid w:val="00E06496"/>
    <w:rsid w:val="00E15EEE"/>
    <w:rsid w:val="00E37D8A"/>
    <w:rsid w:val="00E54682"/>
    <w:rsid w:val="00EC1A8C"/>
    <w:rsid w:val="00ED5ABD"/>
    <w:rsid w:val="00EF579F"/>
    <w:rsid w:val="00F4226E"/>
    <w:rsid w:val="00F424E5"/>
    <w:rsid w:val="00F64305"/>
    <w:rsid w:val="00F661B4"/>
    <w:rsid w:val="00F84BD1"/>
    <w:rsid w:val="00FB5CF2"/>
    <w:rsid w:val="00FD7F3D"/>
    <w:rsid w:val="00FE1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1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1688"/>
    <w:pPr>
      <w:spacing w:after="16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 w:bidi="en-US"/>
    </w:rPr>
  </w:style>
  <w:style w:type="character" w:customStyle="1" w:styleId="apple-converted-space">
    <w:name w:val="apple-converted-space"/>
    <w:basedOn w:val="a0"/>
    <w:rsid w:val="006736E2"/>
  </w:style>
  <w:style w:type="character" w:styleId="a5">
    <w:name w:val="Hyperlink"/>
    <w:basedOn w:val="a0"/>
    <w:uiPriority w:val="99"/>
    <w:semiHidden/>
    <w:unhideWhenUsed/>
    <w:rsid w:val="006736E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30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3048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43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2%D0%B5%D1%80%D0%BE%D1%8F%D1%82%D0%BD%D0%BE%D1%81%D1%82%D1%8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97038-D021-4376-9522-B963017F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USK</Company>
  <LinksUpToDate>false</LinksUpToDate>
  <CharactersWithSpaces>10676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akhmetova_lr</dc:creator>
  <cp:lastModifiedBy>israfilova_em</cp:lastModifiedBy>
  <cp:revision>5</cp:revision>
  <cp:lastPrinted>2021-02-01T12:33:00Z</cp:lastPrinted>
  <dcterms:created xsi:type="dcterms:W3CDTF">2021-01-21T08:32:00Z</dcterms:created>
  <dcterms:modified xsi:type="dcterms:W3CDTF">2021-02-02T05:02:00Z</dcterms:modified>
</cp:coreProperties>
</file>