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0D" w:rsidRPr="00E6670D" w:rsidRDefault="00E6670D" w:rsidP="00E6670D">
      <w:pPr>
        <w:spacing w:after="0" w:line="240" w:lineRule="exact"/>
        <w:ind w:right="152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6670D" w:rsidRPr="00BD61AA" w:rsidRDefault="00E6670D" w:rsidP="00BD61AA">
      <w:pPr>
        <w:spacing w:before="48" w:after="0" w:line="240" w:lineRule="atLeast"/>
        <w:ind w:left="1491" w:right="14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61A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 к расчету уровня качества и надежности услуг</w:t>
      </w:r>
      <w:r w:rsidR="00BD61AA" w:rsidRPr="00BD61A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D61A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60C1D" w:rsidRPr="00BD61AA">
        <w:rPr>
          <w:rFonts w:ascii="Times New Roman" w:eastAsia="Times New Roman" w:hAnsi="Times New Roman" w:cs="Times New Roman"/>
          <w:b/>
          <w:sz w:val="28"/>
          <w:szCs w:val="28"/>
        </w:rPr>
        <w:t>АО "</w:t>
      </w:r>
      <w:r w:rsidR="00BD61AA" w:rsidRPr="00BD61AA">
        <w:rPr>
          <w:rFonts w:ascii="Times New Roman" w:eastAsia="Times New Roman" w:hAnsi="Times New Roman" w:cs="Times New Roman"/>
          <w:b/>
          <w:sz w:val="28"/>
          <w:szCs w:val="28"/>
        </w:rPr>
        <w:t>УСК»</w:t>
      </w:r>
    </w:p>
    <w:p w:rsidR="00BD61AA" w:rsidRPr="00BD61AA" w:rsidRDefault="00BD61AA" w:rsidP="00BD61AA">
      <w:pPr>
        <w:spacing w:before="48" w:after="0" w:line="240" w:lineRule="atLeast"/>
        <w:ind w:left="1491" w:right="148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BB776C" w:rsidRDefault="00BD61AA" w:rsidP="00BD61AA">
      <w:pPr>
        <w:spacing w:before="48" w:after="0" w:line="240" w:lineRule="atLeast"/>
        <w:ind w:left="1491" w:right="1486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</w:rPr>
        <w:sectPr w:rsidR="00BD61AA" w:rsidRPr="00BB776C" w:rsidSect="00960C1D">
          <w:type w:val="continuous"/>
          <w:pgSz w:w="11905" w:h="16837"/>
          <w:pgMar w:top="839" w:right="850" w:bottom="1440" w:left="1418" w:header="720" w:footer="720" w:gutter="0"/>
          <w:cols w:space="720"/>
        </w:sectPr>
      </w:pPr>
    </w:p>
    <w:p w:rsidR="00E6670D" w:rsidRPr="00BD61AA" w:rsidRDefault="00E6670D" w:rsidP="00BD61AA">
      <w:pPr>
        <w:spacing w:before="62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61AA">
        <w:rPr>
          <w:rFonts w:ascii="Times New Roman" w:eastAsia="Times New Roman" w:hAnsi="Times New Roman" w:cs="Times New Roman"/>
          <w:sz w:val="28"/>
          <w:szCs w:val="28"/>
        </w:rPr>
        <w:lastRenderedPageBreak/>
        <w:t>В соответствии с Постановлением Правительства Российской Федерации от 31 декабря 2009 года №1220 «Об определении применяемых при установлении долгосрочных тарифов показателей надежности и качества поставляемых товаров и оказываемых услуг» (в редакции от 24.05.2017г.), а также Методических указаний к Приказу Министерства энергетики Российской Федерации от 29 ноября 2016 года № 1256 «Об утверждении методических указаний по расчету уровня надежности и качества</w:t>
      </w:r>
      <w:proofErr w:type="gramEnd"/>
      <w:r w:rsidRPr="00BD61AA">
        <w:rPr>
          <w:rFonts w:ascii="Times New Roman" w:eastAsia="Times New Roman" w:hAnsi="Times New Roman" w:cs="Times New Roman"/>
          <w:sz w:val="28"/>
          <w:szCs w:val="28"/>
        </w:rPr>
        <w:t xml:space="preserve"> поставляемых товаров и оказания услуг для организаций по управлению Единой национальной (общероссийской) электрической сетью и территориальных сетевых организаций»</w:t>
      </w:r>
      <w:r w:rsidR="00BB776C" w:rsidRPr="00BD61AA">
        <w:rPr>
          <w:rFonts w:ascii="Times New Roman" w:eastAsia="Times New Roman" w:hAnsi="Times New Roman" w:cs="Times New Roman"/>
          <w:sz w:val="28"/>
          <w:szCs w:val="28"/>
        </w:rPr>
        <w:t xml:space="preserve"> (в редакции от 21.06.2017г.)</w:t>
      </w:r>
      <w:r w:rsidRPr="00BD61A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B776C" w:rsidRPr="00BD61AA">
        <w:rPr>
          <w:rFonts w:ascii="Times New Roman" w:eastAsia="Times New Roman" w:hAnsi="Times New Roman" w:cs="Times New Roman"/>
          <w:sz w:val="28"/>
          <w:szCs w:val="28"/>
        </w:rPr>
        <w:t>АО «УСК»</w:t>
      </w:r>
      <w:r w:rsidRPr="00BD61AA">
        <w:rPr>
          <w:rFonts w:ascii="Times New Roman" w:eastAsia="Times New Roman" w:hAnsi="Times New Roman" w:cs="Times New Roman"/>
          <w:sz w:val="28"/>
          <w:szCs w:val="28"/>
        </w:rPr>
        <w:t xml:space="preserve"> были рассчитаны следующие показатели:</w:t>
      </w:r>
    </w:p>
    <w:p w:rsidR="00E6670D" w:rsidRPr="00BB776C" w:rsidRDefault="00E6670D" w:rsidP="00BD61AA">
      <w:pPr>
        <w:spacing w:after="0" w:line="36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670D" w:rsidRDefault="00E6670D" w:rsidP="00BD61AA">
      <w:pPr>
        <w:tabs>
          <w:tab w:val="left" w:pos="1421"/>
        </w:tabs>
        <w:spacing w:before="29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61A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D61AA">
        <w:rPr>
          <w:rFonts w:ascii="Times New Roman" w:eastAsia="Times New Roman" w:hAnsi="Times New Roman" w:cs="Times New Roman"/>
          <w:b/>
          <w:sz w:val="28"/>
          <w:szCs w:val="28"/>
        </w:rPr>
        <w:t>.Показател</w:t>
      </w:r>
      <w:r w:rsidR="00BD61AA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Pr="00BD61AA">
        <w:rPr>
          <w:rFonts w:ascii="Times New Roman" w:eastAsia="Times New Roman" w:hAnsi="Times New Roman" w:cs="Times New Roman"/>
          <w:b/>
          <w:sz w:val="28"/>
          <w:szCs w:val="28"/>
        </w:rPr>
        <w:t xml:space="preserve"> уровня надежности оказываемых услуг </w:t>
      </w:r>
      <w:r w:rsidRPr="00BB776C">
        <w:rPr>
          <w:rFonts w:ascii="Times New Roman" w:eastAsia="Times New Roman" w:hAnsi="Times New Roman" w:cs="Times New Roman"/>
          <w:sz w:val="28"/>
          <w:szCs w:val="28"/>
        </w:rPr>
        <w:t xml:space="preserve">и порядок расчета </w:t>
      </w:r>
      <w:r w:rsidR="00BD61AA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Pr="00BB776C">
        <w:rPr>
          <w:rFonts w:ascii="Times New Roman" w:eastAsia="Times New Roman" w:hAnsi="Times New Roman" w:cs="Times New Roman"/>
          <w:sz w:val="28"/>
          <w:szCs w:val="28"/>
        </w:rPr>
        <w:t>значени</w:t>
      </w:r>
      <w:r w:rsidR="00BD61AA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BB776C">
        <w:rPr>
          <w:rFonts w:ascii="Times New Roman" w:eastAsia="Times New Roman" w:hAnsi="Times New Roman" w:cs="Times New Roman"/>
          <w:sz w:val="28"/>
          <w:szCs w:val="28"/>
        </w:rPr>
        <w:t xml:space="preserve"> для</w:t>
      </w:r>
      <w:r w:rsidR="00BB7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61AA">
        <w:rPr>
          <w:rFonts w:ascii="Times New Roman" w:eastAsia="Times New Roman" w:hAnsi="Times New Roman" w:cs="Times New Roman"/>
          <w:sz w:val="28"/>
          <w:szCs w:val="28"/>
        </w:rPr>
        <w:t>АО «УСК»</w:t>
      </w:r>
    </w:p>
    <w:p w:rsidR="00E6670D" w:rsidRPr="00BB776C" w:rsidRDefault="00E6670D" w:rsidP="00BD61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76C">
        <w:rPr>
          <w:rFonts w:ascii="Times New Roman" w:eastAsia="Times New Roman" w:hAnsi="Times New Roman" w:cs="Times New Roman"/>
          <w:sz w:val="28"/>
          <w:szCs w:val="28"/>
        </w:rPr>
        <w:t>Показатель средней продолжительности прекращения передачи электрической энергии на точку поставки в каждом расчетном периоде регулирования в пределах долгосрочного периода регулирования определяется по формуле:</w:t>
      </w: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8"/>
      <w:bookmarkEnd w:id="0"/>
      <w:proofErr w:type="spellStart"/>
      <w:r w:rsidRPr="00BD61AA">
        <w:rPr>
          <w:rFonts w:ascii="Times New Roman" w:hAnsi="Times New Roman" w:cs="Times New Roman"/>
          <w:b/>
          <w:sz w:val="28"/>
          <w:szCs w:val="28"/>
        </w:rPr>
        <w:t>П</w:t>
      </w:r>
      <w:r w:rsidRPr="00BD61AA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BD61AA">
        <w:rPr>
          <w:rFonts w:ascii="Times New Roman" w:hAnsi="Times New Roman" w:cs="Times New Roman"/>
          <w:sz w:val="28"/>
          <w:szCs w:val="28"/>
        </w:rPr>
        <w:t>T</w:t>
      </w:r>
      <w:proofErr w:type="gram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N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тп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>, (1)</w:t>
      </w:r>
    </w:p>
    <w:p w:rsidR="00BD61AA" w:rsidRPr="00BD61AA" w:rsidRDefault="00BD61AA" w:rsidP="00BD61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>где:</w:t>
      </w:r>
    </w:p>
    <w:p w:rsidR="00BD61AA" w:rsidRPr="00BD61AA" w:rsidRDefault="00BD61AA" w:rsidP="00BD61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D61AA">
        <w:rPr>
          <w:rFonts w:ascii="Times New Roman" w:hAnsi="Times New Roman" w:cs="Times New Roman"/>
          <w:sz w:val="28"/>
          <w:szCs w:val="28"/>
        </w:rPr>
        <w:t>T</w:t>
      </w:r>
      <w:proofErr w:type="gram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- фактическая суммарная продолжительность всех прекращений передачи электрической энергии в отношении потребителей услуг сетевой организации за расчетный период регулирования, час;</w:t>
      </w:r>
    </w:p>
    <w:p w:rsidR="00BD61AA" w:rsidRPr="00E54978" w:rsidRDefault="00BD61AA" w:rsidP="00BD61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D61AA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тп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- максимальное за расчетный период регулирования число точек присоединения потребителей услуг сетевой организации к электрической сети сетевой организации, шт.</w:t>
      </w: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= 154,514 / 63983= 0,0024</w:t>
      </w:r>
    </w:p>
    <w:p w:rsidR="00BD61AA" w:rsidRPr="00BD61AA" w:rsidRDefault="00BD61AA" w:rsidP="00BD61AA">
      <w:pPr>
        <w:spacing w:before="139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 xml:space="preserve">Учет данных первичной информации, используемой при расчете уровня надежности оказываемых услуг, производится путем ежемесячного заполнения сетевой организацией </w:t>
      </w:r>
      <w:hyperlink w:anchor="P605" w:history="1">
        <w:r w:rsidRPr="00BD61AA">
          <w:rPr>
            <w:rFonts w:ascii="Times New Roman" w:hAnsi="Times New Roman" w:cs="Times New Roman"/>
            <w:sz w:val="28"/>
            <w:szCs w:val="28"/>
            <w:u w:val="single"/>
          </w:rPr>
          <w:t>формы 8.1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D61AA" w:rsidRPr="00BD61AA" w:rsidRDefault="00BD61AA" w:rsidP="00BD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 xml:space="preserve">2.  Значение </w:t>
      </w:r>
      <w:r w:rsidRPr="00BD61AA">
        <w:rPr>
          <w:rFonts w:ascii="Times New Roman" w:hAnsi="Times New Roman" w:cs="Times New Roman"/>
          <w:b/>
          <w:sz w:val="28"/>
          <w:szCs w:val="28"/>
        </w:rPr>
        <w:t>показателя уровня качества оказываемых услуг</w:t>
      </w:r>
      <w:r w:rsidRPr="00BD61AA">
        <w:rPr>
          <w:rFonts w:ascii="Times New Roman" w:hAnsi="Times New Roman" w:cs="Times New Roman"/>
          <w:sz w:val="28"/>
          <w:szCs w:val="28"/>
        </w:rPr>
        <w:t xml:space="preserve"> территориальных сетевых организаций </w:t>
      </w:r>
      <w:r w:rsidRPr="00BD61A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BD61AA">
        <w:rPr>
          <w:rFonts w:ascii="Times New Roman" w:hAnsi="Times New Roman" w:cs="Times New Roman"/>
          <w:b/>
          <w:sz w:val="28"/>
          <w:szCs w:val="28"/>
        </w:rPr>
        <w:t>П</w:t>
      </w:r>
      <w:r w:rsidRPr="00BD61AA">
        <w:rPr>
          <w:rFonts w:ascii="Times New Roman" w:hAnsi="Times New Roman" w:cs="Times New Roman"/>
          <w:b/>
          <w:sz w:val="28"/>
          <w:szCs w:val="28"/>
          <w:vertAlign w:val="subscript"/>
        </w:rPr>
        <w:t>тсо</w:t>
      </w:r>
      <w:proofErr w:type="spellEnd"/>
      <w:r w:rsidRPr="00BD61AA">
        <w:rPr>
          <w:rFonts w:ascii="Times New Roman" w:hAnsi="Times New Roman" w:cs="Times New Roman"/>
          <w:b/>
          <w:sz w:val="28"/>
          <w:szCs w:val="28"/>
        </w:rPr>
        <w:t>)</w:t>
      </w:r>
      <w:r w:rsidRPr="00BD61AA">
        <w:rPr>
          <w:rFonts w:ascii="Times New Roman" w:hAnsi="Times New Roman" w:cs="Times New Roman"/>
          <w:sz w:val="28"/>
          <w:szCs w:val="28"/>
        </w:rPr>
        <w:t xml:space="preserve"> определяется в баллах по формуле:</w:t>
      </w:r>
    </w:p>
    <w:p w:rsidR="00BD61AA" w:rsidRPr="00BD61AA" w:rsidRDefault="00BD61AA" w:rsidP="00BD61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55"/>
      <w:bookmarkEnd w:id="1"/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тсо</w:t>
      </w:r>
      <w:proofErr w:type="spellEnd"/>
      <w:proofErr w:type="gramStart"/>
      <w:r w:rsidRPr="00BD61AA">
        <w:rPr>
          <w:rFonts w:ascii="Times New Roman" w:hAnsi="Times New Roman" w:cs="Times New Roman"/>
          <w:sz w:val="28"/>
          <w:szCs w:val="28"/>
        </w:rPr>
        <w:t xml:space="preserve"> = А</w:t>
      </w:r>
      <w:proofErr w:type="gramEnd"/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И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BD61AA">
        <w:rPr>
          <w:rFonts w:ascii="Times New Roman" w:hAnsi="Times New Roman" w:cs="Times New Roman"/>
          <w:sz w:val="28"/>
          <w:szCs w:val="28"/>
        </w:rPr>
        <w:t xml:space="preserve"> + Б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И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+ В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Р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>где: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>И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BD61AA">
        <w:rPr>
          <w:rFonts w:ascii="Times New Roman" w:hAnsi="Times New Roman" w:cs="Times New Roman"/>
          <w:sz w:val="28"/>
          <w:szCs w:val="28"/>
        </w:rPr>
        <w:t xml:space="preserve"> - индикатор информативности;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И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- индикатор исполнительности;</w:t>
      </w:r>
    </w:p>
    <w:p w:rsid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1AA">
        <w:rPr>
          <w:rFonts w:ascii="Times New Roman" w:hAnsi="Times New Roman" w:cs="Times New Roman"/>
          <w:sz w:val="28"/>
          <w:szCs w:val="28"/>
        </w:rPr>
        <w:t>Р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- индикатор результативности обратной связи;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lastRenderedPageBreak/>
        <w:t>А, Б, В - весовые коэффициенты соответствующих индикаторов качества, для которых установлены следующие значения: А = 0,1; Б = 0,7; В = 0,2.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>Значения индикаторов качества определяются на основе оценок их отдельных па</w:t>
      </w:r>
      <w:r>
        <w:rPr>
          <w:rFonts w:ascii="Times New Roman" w:hAnsi="Times New Roman" w:cs="Times New Roman"/>
          <w:sz w:val="28"/>
          <w:szCs w:val="28"/>
        </w:rPr>
        <w:t>раметров, определяемых в баллах (Прил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BD61AA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BD61AA">
        <w:rPr>
          <w:rFonts w:ascii="Times New Roman" w:hAnsi="Times New Roman" w:cs="Times New Roman"/>
          <w:sz w:val="28"/>
          <w:szCs w:val="28"/>
        </w:rPr>
        <w:t xml:space="preserve">ормы 6.1; 6.2; 6.3) в соответствии с </w:t>
      </w:r>
      <w:hyperlink w:anchor="P193" w:history="1">
        <w:r w:rsidRPr="00BD61AA">
          <w:rPr>
            <w:rFonts w:ascii="Times New Roman" w:hAnsi="Times New Roman" w:cs="Times New Roman"/>
            <w:sz w:val="28"/>
            <w:szCs w:val="28"/>
          </w:rPr>
          <w:t>пунктами 3.1.2.9</w:t>
        </w:r>
      </w:hyperlink>
      <w:r w:rsidRPr="00BD61A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94" w:history="1">
        <w:r w:rsidRPr="00BD61AA">
          <w:rPr>
            <w:rFonts w:ascii="Times New Roman" w:hAnsi="Times New Roman" w:cs="Times New Roman"/>
            <w:sz w:val="28"/>
            <w:szCs w:val="28"/>
          </w:rPr>
          <w:t>3.1.2.10</w:t>
        </w:r>
      </w:hyperlink>
      <w:r w:rsidRPr="00BD61AA">
        <w:rPr>
          <w:rFonts w:ascii="Times New Roman" w:hAnsi="Times New Roman" w:cs="Times New Roman"/>
          <w:sz w:val="28"/>
          <w:szCs w:val="28"/>
        </w:rPr>
        <w:t xml:space="preserve"> методических указаний.</w:t>
      </w:r>
    </w:p>
    <w:p w:rsidR="00BD61AA" w:rsidRDefault="00BD61AA" w:rsidP="00BD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61AA" w:rsidRDefault="00BD61AA" w:rsidP="00BD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61AA" w:rsidRPr="00BD61AA" w:rsidRDefault="00BD61AA" w:rsidP="00BD61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1A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BD61AA">
        <w:rPr>
          <w:rFonts w:ascii="Times New Roman" w:eastAsia="Times New Roman" w:hAnsi="Times New Roman" w:cs="Times New Roman"/>
          <w:b/>
          <w:sz w:val="28"/>
          <w:szCs w:val="28"/>
        </w:rPr>
        <w:t>Показатель</w:t>
      </w:r>
      <w:r w:rsidRPr="00BD61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61AA">
        <w:rPr>
          <w:rFonts w:ascii="Times New Roman" w:eastAsia="Times New Roman" w:hAnsi="Times New Roman" w:cs="Times New Roman"/>
          <w:b/>
          <w:sz w:val="28"/>
          <w:szCs w:val="28"/>
        </w:rPr>
        <w:t>уровня качества осуществляемого технологического</w:t>
      </w:r>
      <w:r w:rsidRPr="00BD61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61AA">
        <w:rPr>
          <w:rFonts w:ascii="Times New Roman" w:eastAsia="Times New Roman" w:hAnsi="Times New Roman" w:cs="Times New Roman"/>
          <w:b/>
          <w:sz w:val="28"/>
          <w:szCs w:val="28"/>
        </w:rPr>
        <w:t>присоединения к сети (</w:t>
      </w:r>
      <w:proofErr w:type="spellStart"/>
      <w:r w:rsidRPr="00BD61AA">
        <w:rPr>
          <w:rFonts w:ascii="Times New Roman" w:hAnsi="Times New Roman" w:cs="Times New Roman"/>
          <w:b/>
          <w:sz w:val="28"/>
          <w:szCs w:val="28"/>
        </w:rPr>
        <w:t>П</w:t>
      </w:r>
      <w:r w:rsidRPr="00BD61AA">
        <w:rPr>
          <w:rFonts w:ascii="Times New Roman" w:hAnsi="Times New Roman" w:cs="Times New Roman"/>
          <w:b/>
          <w:sz w:val="28"/>
          <w:szCs w:val="28"/>
          <w:vertAlign w:val="subscript"/>
        </w:rPr>
        <w:t>тпр</w:t>
      </w:r>
      <w:proofErr w:type="spellEnd"/>
      <w:r w:rsidRPr="00BD61AA">
        <w:rPr>
          <w:rFonts w:ascii="Times New Roman" w:hAnsi="Times New Roman" w:cs="Times New Roman"/>
          <w:b/>
          <w:sz w:val="28"/>
          <w:szCs w:val="28"/>
          <w:vertAlign w:val="subscript"/>
        </w:rPr>
        <w:t>)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D61AA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</w:p>
    <w:p w:rsidR="00BD61AA" w:rsidRPr="00BD61AA" w:rsidRDefault="00BD61AA" w:rsidP="00BD61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09"/>
      <w:bookmarkEnd w:id="2"/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= 0.4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заяв_тпр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+ 0.4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нс_тпр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+ 0.2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нпа_тпр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D61AA" w:rsidRPr="00BD61AA" w:rsidRDefault="00BD61AA" w:rsidP="00BD61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>где: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заяв_тпр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- показатель качества рассмотрения заявок на технологическое присоединение к сети, определяемый исходя из рассмотрения заявок на технологическое присоединение к сети, полученных от заявителей;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нс_тпр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- показатель качества исполнения договоров об осуществлении технологического присоединения заявителей к сети;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нпа_тпр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- показатель соблюдения антимонопольного законодательства Российской Федерации при технологическом присоединении заявителей к электрическим сетям сетевой организации.</w:t>
      </w:r>
    </w:p>
    <w:p w:rsidR="00BD61AA" w:rsidRPr="00BD61AA" w:rsidRDefault="00BD61AA" w:rsidP="00BD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1AA">
        <w:rPr>
          <w:rFonts w:ascii="Times New Roman" w:eastAsia="Times New Roman" w:hAnsi="Times New Roman" w:cs="Times New Roman"/>
          <w:sz w:val="28"/>
          <w:szCs w:val="28"/>
        </w:rPr>
        <w:t xml:space="preserve">Отчетные данные для значения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показателей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заяв_тпр</w:t>
      </w:r>
      <w:proofErr w:type="spell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нс_тпр</w:t>
      </w:r>
      <w:proofErr w:type="spell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и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нпа_тпр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указываются в </w:t>
      </w:r>
      <w:r w:rsidRPr="00BD61AA">
        <w:rPr>
          <w:rFonts w:ascii="Times New Roman" w:eastAsia="Times New Roman" w:hAnsi="Times New Roman" w:cs="Times New Roman"/>
          <w:sz w:val="28"/>
          <w:szCs w:val="28"/>
        </w:rPr>
        <w:t>формах 3.1, 3.2, 3.3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61AA" w:rsidRPr="00BD61AA" w:rsidRDefault="00BD61AA" w:rsidP="00BD61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7051C3" w:rsidRDefault="00BD61AA" w:rsidP="00BD61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Плановое значение показателя надежности и качества услуг считается достигнутым сетевой организацией по результатам расчетного периода регулирования, если фактическое значение показателя за соответствующий расчетный период регулирования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превышает 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планово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значение этого показателя с коэффициентом 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D61AA" w:rsidRPr="007051C3" w:rsidRDefault="00BD61AA" w:rsidP="00BD61A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1AA" w:rsidRPr="007051C3" w:rsidRDefault="00BD61AA" w:rsidP="00BD61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п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51C3">
        <w:rPr>
          <w:rFonts w:ascii="Times New Roman" w:hAnsi="Times New Roman" w:cs="Times New Roman"/>
          <w:noProof/>
          <w:color w:val="000000" w:themeColor="text1"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1" name="Рисунок 1" descr="base_1_220786_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20786_9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пл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п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К),</w:t>
      </w:r>
    </w:p>
    <w:p w:rsidR="00BD61AA" w:rsidRPr="007051C3" w:rsidRDefault="00BD61AA" w:rsidP="00BD61A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1AA" w:rsidRPr="007051C3" w:rsidRDefault="00BD61AA" w:rsidP="00BD61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тпр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51C3">
        <w:rPr>
          <w:rFonts w:ascii="Times New Roman" w:hAnsi="Times New Roman" w:cs="Times New Roman"/>
          <w:noProof/>
          <w:color w:val="000000" w:themeColor="text1"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2" name="Рисунок 2" descr="base_1_220786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20786_9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пл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тпр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К),</w:t>
      </w:r>
    </w:p>
    <w:p w:rsidR="00BD61AA" w:rsidRPr="007051C3" w:rsidRDefault="00BD61AA" w:rsidP="00BD61A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1AA" w:rsidRPr="007051C3" w:rsidRDefault="00BD61AA" w:rsidP="00BD61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тсо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51C3">
        <w:rPr>
          <w:rFonts w:ascii="Times New Roman" w:hAnsi="Times New Roman" w:cs="Times New Roman"/>
          <w:noProof/>
          <w:color w:val="000000" w:themeColor="text1"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3" name="Рисунок 3" descr="base_1_220786_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220786_9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пл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тсо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(1 -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К),</w:t>
      </w:r>
    </w:p>
    <w:p w:rsidR="00BD61AA" w:rsidRPr="007051C3" w:rsidRDefault="00BD61AA" w:rsidP="00BD61A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1AA" w:rsidRDefault="00BD61AA" w:rsidP="00BD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61AA" w:rsidRPr="007051C3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D61AA" w:rsidRPr="007051C3" w:rsidRDefault="00BD61AA" w:rsidP="00BD61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коэффициент допустимого отклонения;</w:t>
      </w:r>
    </w:p>
    <w:p w:rsidR="00BD61AA" w:rsidRPr="007051C3" w:rsidRDefault="00BD61AA" w:rsidP="00BD61AA">
      <w:pPr>
        <w:pStyle w:val="ConsPlusNormal"/>
        <w:spacing w:before="22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п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тпр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тсо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ens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фактические значения соответствующих показателей за соответствующий расчетный период регулирования.</w:t>
      </w:r>
    </w:p>
    <w:p w:rsidR="00BD61AA" w:rsidRDefault="00BD61AA" w:rsidP="00BD61A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1AA" w:rsidRDefault="00BD61AA" w:rsidP="00BD61A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1AA" w:rsidRPr="00BD61AA" w:rsidRDefault="00BD61AA" w:rsidP="00BD61A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D61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Результаты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отчетного</w:t>
      </w:r>
      <w:r w:rsidRPr="00BD61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периода регулирования следующие:</w:t>
      </w:r>
    </w:p>
    <w:tbl>
      <w:tblPr>
        <w:tblW w:w="9670" w:type="dxa"/>
        <w:tblInd w:w="95" w:type="dxa"/>
        <w:tblLayout w:type="fixed"/>
        <w:tblLook w:val="04A0"/>
      </w:tblPr>
      <w:tblGrid>
        <w:gridCol w:w="4266"/>
        <w:gridCol w:w="1417"/>
        <w:gridCol w:w="1276"/>
        <w:gridCol w:w="2711"/>
      </w:tblGrid>
      <w:tr w:rsidR="00BD61AA" w:rsidRPr="00BD61AA" w:rsidTr="00FD05B1">
        <w:trPr>
          <w:trHeight w:val="1667"/>
        </w:trPr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1AA" w:rsidRPr="00BD61AA" w:rsidRDefault="00BD61AA" w:rsidP="003A5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D658F"/>
            <w:vAlign w:val="center"/>
            <w:hideMark/>
          </w:tcPr>
          <w:p w:rsidR="00BD61AA" w:rsidRPr="00BD61AA" w:rsidRDefault="00BD61AA" w:rsidP="00FD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Плановое значени</w:t>
            </w:r>
            <w:r w:rsidR="00FD05B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е*</w:t>
            </w: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D658F"/>
            <w:vAlign w:val="center"/>
            <w:hideMark/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Фактическое значение (расчет)</w:t>
            </w:r>
          </w:p>
        </w:tc>
        <w:tc>
          <w:tcPr>
            <w:tcW w:w="2711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D658F"/>
          </w:tcPr>
          <w:p w:rsidR="00BD61AA" w:rsidRPr="00BD61AA" w:rsidRDefault="00BD61AA" w:rsidP="00B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Значения </w:t>
            </w:r>
            <w:proofErr w:type="spellStart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коэффициентав</w:t>
            </w:r>
            <w:proofErr w:type="spellEnd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допустимых отклонениях фактических значений показателей надежности </w:t>
            </w:r>
            <w:proofErr w:type="gramStart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от</w:t>
            </w:r>
            <w:proofErr w:type="gramEnd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плановых</w:t>
            </w:r>
          </w:p>
        </w:tc>
      </w:tr>
      <w:tr w:rsidR="00BD61AA" w:rsidRPr="00BD61AA" w:rsidTr="00FD05B1">
        <w:trPr>
          <w:trHeight w:val="1392"/>
        </w:trPr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AA" w:rsidRPr="00BD61AA" w:rsidRDefault="00BD61AA" w:rsidP="00BD61AA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31"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Показатель средней продолжительности прекращения передачи электрической энергии (</w:t>
            </w:r>
            <w:proofErr w:type="spellStart"/>
            <w:r w:rsidRPr="00BD61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Пп</w:t>
            </w:r>
            <w:proofErr w:type="spellEnd"/>
            <w:r w:rsidRPr="00BD61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AA" w:rsidRPr="00BD61AA" w:rsidRDefault="00BD61AA" w:rsidP="00B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AA" w:rsidRPr="00BD61AA" w:rsidRDefault="00BD61AA" w:rsidP="00B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6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0,0024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</w:tbl>
    <w:p w:rsidR="00BD61AA" w:rsidRDefault="00BD61AA" w:rsidP="00BD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61AA" w:rsidRPr="007051C3" w:rsidRDefault="00BD61AA" w:rsidP="00BD61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п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51C3">
        <w:rPr>
          <w:rFonts w:ascii="Times New Roman" w:hAnsi="Times New Roman" w:cs="Times New Roman"/>
          <w:noProof/>
          <w:color w:val="000000" w:themeColor="text1"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4" name="Рисунок 1" descr="base_1_220786_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20786_9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пл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п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proofErr w:type="spellEnd"/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0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К),</w:t>
      </w:r>
    </w:p>
    <w:p w:rsidR="00BD61AA" w:rsidRPr="00A27A3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7A3A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024</w:t>
      </w:r>
      <w:r w:rsidRPr="00A27A3A">
        <w:rPr>
          <w:rFonts w:ascii="Times New Roman" w:hAnsi="Times New Roman" w:cs="Times New Roman"/>
          <w:sz w:val="28"/>
          <w:szCs w:val="28"/>
        </w:rPr>
        <w:t xml:space="preserve"> </w:t>
      </w:r>
      <w:r w:rsidRPr="00A27A3A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6" name="Рисунок 1" descr="base_1_220786_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20786_9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7A3A">
        <w:rPr>
          <w:rFonts w:ascii="Times New Roman" w:hAnsi="Times New Roman" w:cs="Times New Roman"/>
          <w:sz w:val="28"/>
          <w:szCs w:val="28"/>
        </w:rPr>
        <w:t xml:space="preserve"> 0,024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27A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7A3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27A3A">
        <w:rPr>
          <w:rFonts w:ascii="Times New Roman" w:hAnsi="Times New Roman" w:cs="Times New Roman"/>
          <w:sz w:val="28"/>
          <w:szCs w:val="28"/>
        </w:rPr>
        <w:t xml:space="preserve"> (1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27A3A">
        <w:rPr>
          <w:rFonts w:ascii="Times New Roman" w:hAnsi="Times New Roman" w:cs="Times New Roman"/>
          <w:sz w:val="28"/>
          <w:szCs w:val="28"/>
        </w:rPr>
        <w:t xml:space="preserve"> 0,3)</w:t>
      </w:r>
    </w:p>
    <w:p w:rsid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7A3A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024</w:t>
      </w:r>
      <w:r w:rsidRPr="00A27A3A">
        <w:rPr>
          <w:rFonts w:ascii="Times New Roman" w:hAnsi="Times New Roman" w:cs="Times New Roman"/>
          <w:sz w:val="28"/>
          <w:szCs w:val="28"/>
        </w:rPr>
        <w:t xml:space="preserve"> </w:t>
      </w:r>
      <w:r w:rsidRPr="00A27A3A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7" name="Рисунок 1" descr="base_1_220786_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20786_9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7A3A"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</w:rPr>
        <w:t>0169</w:t>
      </w:r>
    </w:p>
    <w:p w:rsid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(плановое значение </w:t>
      </w:r>
      <w:r w:rsidRPr="00A64639">
        <w:rPr>
          <w:rFonts w:ascii="Times New Roman" w:hAnsi="Times New Roman" w:cs="Times New Roman"/>
          <w:sz w:val="28"/>
          <w:szCs w:val="28"/>
        </w:rPr>
        <w:t>достигнут</w:t>
      </w:r>
      <w:r>
        <w:rPr>
          <w:rFonts w:ascii="Times New Roman" w:hAnsi="Times New Roman" w:cs="Times New Roman"/>
          <w:sz w:val="28"/>
          <w:szCs w:val="28"/>
        </w:rPr>
        <w:t>о)</w:t>
      </w:r>
    </w:p>
    <w:p w:rsid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D61AA" w:rsidRPr="00A27A3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70" w:type="dxa"/>
        <w:tblInd w:w="95" w:type="dxa"/>
        <w:tblLayout w:type="fixed"/>
        <w:tblLook w:val="04A0"/>
      </w:tblPr>
      <w:tblGrid>
        <w:gridCol w:w="4266"/>
        <w:gridCol w:w="1276"/>
        <w:gridCol w:w="1417"/>
        <w:gridCol w:w="2711"/>
      </w:tblGrid>
      <w:tr w:rsidR="00BD61AA" w:rsidRPr="00BD61AA" w:rsidTr="003A5DA2">
        <w:trPr>
          <w:trHeight w:val="1667"/>
        </w:trPr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1AA" w:rsidRPr="00BD61AA" w:rsidRDefault="00BD61AA" w:rsidP="003A5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D658F"/>
            <w:vAlign w:val="center"/>
            <w:hideMark/>
          </w:tcPr>
          <w:p w:rsidR="00BD61AA" w:rsidRPr="00BD61AA" w:rsidRDefault="00BD61AA" w:rsidP="00FD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Плановое значени</w:t>
            </w:r>
            <w:r w:rsidR="00FD05B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е</w:t>
            </w: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D658F"/>
            <w:vAlign w:val="center"/>
            <w:hideMark/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Фактическое значение (расчет)</w:t>
            </w:r>
          </w:p>
        </w:tc>
        <w:tc>
          <w:tcPr>
            <w:tcW w:w="2711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D658F"/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Значения </w:t>
            </w:r>
            <w:proofErr w:type="spellStart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коэффициентав</w:t>
            </w:r>
            <w:proofErr w:type="spellEnd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допустимых отклонениях фактических значений показателей надежности </w:t>
            </w:r>
            <w:proofErr w:type="gramStart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от</w:t>
            </w:r>
            <w:proofErr w:type="gramEnd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плановых</w:t>
            </w:r>
          </w:p>
        </w:tc>
      </w:tr>
      <w:tr w:rsidR="00BD61AA" w:rsidRPr="00BD61AA" w:rsidTr="003A5DA2">
        <w:trPr>
          <w:trHeight w:val="1392"/>
        </w:trPr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AA" w:rsidRPr="00BD61AA" w:rsidRDefault="00BD61AA" w:rsidP="00BD61AA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Показатель уровня качес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тва обслуживания потребителей ус</w:t>
            </w:r>
            <w:r w:rsidRPr="00BD61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луг передачи электрической энергии (</w:t>
            </w:r>
            <w:proofErr w:type="spellStart"/>
            <w:r w:rsidRPr="00BD61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BD61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тсо</w:t>
            </w:r>
            <w:proofErr w:type="spellEnd"/>
            <w:r w:rsidRPr="00BD61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BD61AA" w:rsidRPr="00BD61AA" w:rsidRDefault="00BD61AA" w:rsidP="00BD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0,6700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61AA" w:rsidRDefault="00BD61AA" w:rsidP="003A5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1AA" w:rsidRDefault="00BD61AA" w:rsidP="003A5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1AA" w:rsidRDefault="00BD61AA" w:rsidP="003A5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D61AA" w:rsidRDefault="00BD61AA" w:rsidP="00BD61AA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1AA">
        <w:rPr>
          <w:rFonts w:ascii="Times New Roman" w:eastAsia="Times New Roman" w:hAnsi="Times New Roman" w:cs="Times New Roman"/>
          <w:sz w:val="28"/>
          <w:szCs w:val="28"/>
        </w:rPr>
        <w:t xml:space="preserve"> Показатель уровня качества </w:t>
      </w:r>
      <w:r w:rsidRPr="00BD61AA">
        <w:rPr>
          <w:rFonts w:ascii="Times New Roman" w:eastAsia="Times New Roman" w:hAnsi="Times New Roman" w:cs="Times New Roman"/>
          <w:bCs/>
          <w:sz w:val="28"/>
          <w:szCs w:val="28"/>
        </w:rPr>
        <w:t>обслуживания потребителей услуг передачи электрической энергии (</w:t>
      </w:r>
      <w:proofErr w:type="spellStart"/>
      <w:r w:rsidRPr="00BD61AA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тсо</w:t>
      </w:r>
      <w:proofErr w:type="spellEnd"/>
      <w:r w:rsidRPr="00BD61AA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Pr="00BD61AA">
        <w:rPr>
          <w:rFonts w:ascii="Times New Roman" w:eastAsia="Times New Roman" w:hAnsi="Times New Roman" w:cs="Times New Roman"/>
          <w:sz w:val="28"/>
          <w:szCs w:val="28"/>
        </w:rPr>
        <w:t xml:space="preserve">определяется по формуле: </w:t>
      </w:r>
    </w:p>
    <w:p w:rsidR="00BD61AA" w:rsidRDefault="00BD61AA" w:rsidP="00BD61A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D61AA" w:rsidRDefault="00BD61AA" w:rsidP="00BD61A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тсо</w:t>
      </w:r>
      <w:r w:rsidRPr="00BD61AA">
        <w:rPr>
          <w:rFonts w:ascii="Times New Roman" w:hAnsi="Times New Roman" w:cs="Times New Roman"/>
          <w:sz w:val="28"/>
          <w:szCs w:val="28"/>
        </w:rPr>
        <w:t xml:space="preserve">=0.1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BD61AA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BD61AA">
        <w:rPr>
          <w:rFonts w:ascii="Times New Roman" w:hAnsi="Times New Roman" w:cs="Times New Roman"/>
          <w:sz w:val="28"/>
          <w:szCs w:val="28"/>
        </w:rPr>
        <w:t xml:space="preserve">+0.7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И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D61AA">
        <w:rPr>
          <w:rFonts w:ascii="Times New Roman" w:hAnsi="Times New Roman" w:cs="Times New Roman"/>
          <w:sz w:val="28"/>
          <w:szCs w:val="28"/>
        </w:rPr>
        <w:t>+0.2xР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с</w:t>
      </w: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тсо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0,1</w:t>
      </w:r>
      <w:r w:rsidRPr="00BD61AA">
        <w:rPr>
          <w:rFonts w:ascii="Times New Roman" w:hAnsi="Times New Roman" w:cs="Times New Roman"/>
          <w:sz w:val="28"/>
          <w:szCs w:val="28"/>
        </w:rPr>
        <w:t xml:space="preserve"> x</w:t>
      </w:r>
      <w:r>
        <w:rPr>
          <w:rFonts w:ascii="Times New Roman" w:hAnsi="Times New Roman" w:cs="Times New Roman"/>
          <w:sz w:val="28"/>
          <w:szCs w:val="28"/>
        </w:rPr>
        <w:t>2,0</w:t>
      </w:r>
      <w:r w:rsidRPr="00BD61AA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0,7</w:t>
      </w:r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0,32</w:t>
      </w:r>
      <w:r w:rsidRPr="00BD61AA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0,2</w:t>
      </w:r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1,23=0,6700</w:t>
      </w:r>
    </w:p>
    <w:p w:rsidR="00BD61AA" w:rsidRPr="00BD61AA" w:rsidRDefault="00BD61AA" w:rsidP="00BD61AA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tabs>
          <w:tab w:val="left" w:pos="845"/>
        </w:tabs>
        <w:spacing w:before="101" w:after="0" w:line="274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>Расчет показателей И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gramStart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 xml:space="preserve">,,  </w:t>
      </w:r>
      <w:proofErr w:type="spellStart"/>
      <w:proofErr w:type="gramEnd"/>
      <w:r w:rsidRPr="00BD61AA">
        <w:rPr>
          <w:rFonts w:ascii="Times New Roman" w:hAnsi="Times New Roman" w:cs="Times New Roman"/>
          <w:sz w:val="28"/>
          <w:szCs w:val="28"/>
        </w:rPr>
        <w:t>И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Pr="00BD61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Р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BD61AA">
        <w:rPr>
          <w:rFonts w:ascii="Times New Roman" w:hAnsi="Times New Roman" w:cs="Times New Roman"/>
          <w:sz w:val="28"/>
          <w:szCs w:val="28"/>
        </w:rPr>
        <w:t>осуществляется  в табл. 6.1,6.2,6 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1AA" w:rsidRPr="00BD61AA" w:rsidRDefault="00BD61AA" w:rsidP="00BD61AA">
      <w:pPr>
        <w:tabs>
          <w:tab w:val="left" w:pos="845"/>
        </w:tabs>
        <w:spacing w:before="101"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0D715F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D715F">
        <w:rPr>
          <w:rFonts w:ascii="Times New Roman" w:hAnsi="Times New Roman" w:cs="Times New Roman"/>
          <w:sz w:val="28"/>
          <w:szCs w:val="28"/>
        </w:rPr>
        <w:t>П</w:t>
      </w:r>
      <w:r w:rsidRPr="000D715F">
        <w:rPr>
          <w:rFonts w:ascii="Times New Roman" w:hAnsi="Times New Roman" w:cs="Times New Roman"/>
          <w:sz w:val="28"/>
          <w:szCs w:val="28"/>
          <w:vertAlign w:val="subscript"/>
        </w:rPr>
        <w:t>тсо</w:t>
      </w:r>
      <w:proofErr w:type="spellEnd"/>
      <w:r w:rsidRPr="000D715F">
        <w:rPr>
          <w:rFonts w:ascii="Times New Roman" w:hAnsi="Times New Roman" w:cs="Times New Roman"/>
          <w:sz w:val="28"/>
          <w:szCs w:val="28"/>
        </w:rPr>
        <w:t xml:space="preserve"> </w:t>
      </w:r>
      <w:r w:rsidRPr="000D715F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11" name="Рисунок 2" descr="base_1_220786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20786_9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D71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715F">
        <w:rPr>
          <w:rFonts w:ascii="Times New Roman" w:hAnsi="Times New Roman" w:cs="Times New Roman"/>
          <w:sz w:val="28"/>
          <w:szCs w:val="28"/>
        </w:rPr>
        <w:t>П</w:t>
      </w:r>
      <w:r w:rsidRPr="000D715F">
        <w:rPr>
          <w:rFonts w:ascii="Times New Roman" w:hAnsi="Times New Roman" w:cs="Times New Roman"/>
          <w:sz w:val="28"/>
          <w:szCs w:val="28"/>
          <w:vertAlign w:val="superscript"/>
        </w:rPr>
        <w:t>пл</w:t>
      </w:r>
      <w:r w:rsidRPr="000D715F">
        <w:rPr>
          <w:rFonts w:ascii="Times New Roman" w:hAnsi="Times New Roman" w:cs="Times New Roman"/>
          <w:sz w:val="28"/>
          <w:szCs w:val="28"/>
          <w:vertAlign w:val="subscript"/>
        </w:rPr>
        <w:t>тсо</w:t>
      </w:r>
      <w:proofErr w:type="spellEnd"/>
      <w:r w:rsidRPr="000D71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715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D715F">
        <w:rPr>
          <w:rFonts w:ascii="Times New Roman" w:hAnsi="Times New Roman" w:cs="Times New Roman"/>
          <w:sz w:val="28"/>
          <w:szCs w:val="28"/>
        </w:rPr>
        <w:t xml:space="preserve"> (1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D715F">
        <w:rPr>
          <w:rFonts w:ascii="Times New Roman" w:hAnsi="Times New Roman" w:cs="Times New Roman"/>
          <w:sz w:val="28"/>
          <w:szCs w:val="28"/>
        </w:rPr>
        <w:t xml:space="preserve"> К)</w:t>
      </w:r>
    </w:p>
    <w:p w:rsid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0,6780 </w:t>
      </w:r>
      <w:r w:rsidRPr="000D715F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12" name="Рисунок 2" descr="base_1_220786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20786_9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D715F">
        <w:rPr>
          <w:rFonts w:ascii="Times New Roman" w:hAnsi="Times New Roman" w:cs="Times New Roman"/>
          <w:sz w:val="28"/>
          <w:szCs w:val="28"/>
        </w:rPr>
        <w:t xml:space="preserve"> </w:t>
      </w:r>
      <w:r w:rsidRPr="00BD61AA">
        <w:rPr>
          <w:rFonts w:ascii="Times New Roman" w:hAnsi="Times New Roman" w:cs="Times New Roman"/>
          <w:sz w:val="28"/>
          <w:szCs w:val="28"/>
        </w:rPr>
        <w:t>0,9653</w:t>
      </w:r>
      <w:r w:rsidRPr="000D71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715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D715F">
        <w:rPr>
          <w:rFonts w:ascii="Times New Roman" w:hAnsi="Times New Roman" w:cs="Times New Roman"/>
          <w:sz w:val="28"/>
          <w:szCs w:val="28"/>
        </w:rPr>
        <w:t xml:space="preserve"> (1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D715F">
        <w:rPr>
          <w:rFonts w:ascii="Times New Roman" w:hAnsi="Times New Roman" w:cs="Times New Roman"/>
          <w:sz w:val="28"/>
          <w:szCs w:val="28"/>
        </w:rPr>
        <w:t xml:space="preserve"> 0,3)</w:t>
      </w:r>
    </w:p>
    <w:p w:rsidR="00BD61AA" w:rsidRPr="000D715F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0,6700 </w:t>
      </w:r>
      <w:r w:rsidRPr="000D715F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9" name="Рисунок 2" descr="base_1_220786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20786_9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0,6757</w:t>
      </w:r>
    </w:p>
    <w:p w:rsidR="00BD61AA" w:rsidRPr="00A27A3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(плановое значение </w:t>
      </w:r>
      <w:r w:rsidRPr="00A64639">
        <w:rPr>
          <w:rFonts w:ascii="Times New Roman" w:hAnsi="Times New Roman" w:cs="Times New Roman"/>
          <w:sz w:val="28"/>
          <w:szCs w:val="28"/>
        </w:rPr>
        <w:t>достигнут</w:t>
      </w:r>
      <w:r>
        <w:rPr>
          <w:rFonts w:ascii="Times New Roman" w:hAnsi="Times New Roman" w:cs="Times New Roman"/>
          <w:sz w:val="28"/>
          <w:szCs w:val="28"/>
        </w:rPr>
        <w:t>о)</w:t>
      </w:r>
    </w:p>
    <w:p w:rsid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70" w:type="dxa"/>
        <w:tblInd w:w="95" w:type="dxa"/>
        <w:tblLayout w:type="fixed"/>
        <w:tblLook w:val="04A0"/>
      </w:tblPr>
      <w:tblGrid>
        <w:gridCol w:w="4266"/>
        <w:gridCol w:w="1276"/>
        <w:gridCol w:w="1417"/>
        <w:gridCol w:w="2711"/>
      </w:tblGrid>
      <w:tr w:rsidR="00BD61AA" w:rsidRPr="00BD61AA" w:rsidTr="003A5DA2">
        <w:trPr>
          <w:trHeight w:val="1667"/>
        </w:trPr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1AA" w:rsidRPr="00BD61AA" w:rsidRDefault="00BD61AA" w:rsidP="003A5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D658F"/>
            <w:vAlign w:val="center"/>
            <w:hideMark/>
          </w:tcPr>
          <w:p w:rsidR="00BD61AA" w:rsidRPr="00BD61AA" w:rsidRDefault="00BD61AA" w:rsidP="00FD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Плановое </w:t>
            </w:r>
            <w:r w:rsidR="00FD05B1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значении*</w:t>
            </w: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D658F"/>
            <w:vAlign w:val="center"/>
            <w:hideMark/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Фактическое значение (расчет)</w:t>
            </w:r>
          </w:p>
        </w:tc>
        <w:tc>
          <w:tcPr>
            <w:tcW w:w="2711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D658F"/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Значения </w:t>
            </w:r>
            <w:proofErr w:type="spellStart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коэффициентав</w:t>
            </w:r>
            <w:proofErr w:type="spellEnd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допустимых отклонениях фактических значений показателей надежности </w:t>
            </w:r>
            <w:proofErr w:type="gramStart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от</w:t>
            </w:r>
            <w:proofErr w:type="gramEnd"/>
            <w:r w:rsidRPr="00BD61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 плановых</w:t>
            </w:r>
          </w:p>
        </w:tc>
      </w:tr>
      <w:tr w:rsidR="00BD61AA" w:rsidRPr="00BD61AA" w:rsidTr="003A5DA2">
        <w:trPr>
          <w:trHeight w:val="1392"/>
        </w:trPr>
        <w:tc>
          <w:tcPr>
            <w:tcW w:w="4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AA" w:rsidRDefault="00BD61AA" w:rsidP="003A5D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61AA">
              <w:rPr>
                <w:rFonts w:ascii="Times New Roman" w:hAnsi="Times New Roman" w:cs="Times New Roman"/>
                <w:bCs/>
                <w:sz w:val="24"/>
                <w:szCs w:val="24"/>
              </w:rPr>
              <w:t>3.Показатель уровня качества осуществляемого технологического присоединения к сети (</w:t>
            </w:r>
            <w:proofErr w:type="spellStart"/>
            <w:r w:rsidRPr="00BD61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D61A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тпр</w:t>
            </w:r>
            <w:proofErr w:type="spellEnd"/>
            <w:r w:rsidRPr="00BD61AA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BD61AA" w:rsidRDefault="00BD61AA" w:rsidP="003A5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1AA">
              <w:rPr>
                <w:rFonts w:ascii="Times New Roman" w:hAnsi="Times New Roman" w:cs="Times New Roman"/>
                <w:sz w:val="28"/>
                <w:szCs w:val="28"/>
              </w:rPr>
              <w:t xml:space="preserve">Расчет в таблицах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3.1, 3.2;</w:t>
            </w:r>
          </w:p>
          <w:p w:rsidR="00BD61AA" w:rsidRPr="00BD61AA" w:rsidRDefault="00BD61AA" w:rsidP="00B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1AA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61AA" w:rsidRDefault="00BD61AA" w:rsidP="003A5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61AA" w:rsidRPr="00BD61AA" w:rsidRDefault="00BD61AA" w:rsidP="003A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D61AA" w:rsidRDefault="00BD61AA" w:rsidP="00BD61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61AA">
        <w:rPr>
          <w:rFonts w:ascii="Times New Roman" w:eastAsia="Times New Roman" w:hAnsi="Times New Roman" w:cs="Times New Roman"/>
          <w:sz w:val="28"/>
          <w:szCs w:val="28"/>
        </w:rPr>
        <w:t xml:space="preserve">Показатель уровня качества </w:t>
      </w:r>
      <w:r w:rsidRPr="00BD61AA">
        <w:rPr>
          <w:rFonts w:ascii="Times New Roman" w:hAnsi="Times New Roman" w:cs="Times New Roman"/>
          <w:bCs/>
          <w:sz w:val="28"/>
          <w:szCs w:val="28"/>
        </w:rPr>
        <w:t>осуществляемого технологического присоединения к сети (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тпр</w:t>
      </w:r>
      <w:proofErr w:type="spellEnd"/>
      <w:r w:rsidRPr="00BD61A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BD61AA">
        <w:rPr>
          <w:rFonts w:ascii="Times New Roman" w:eastAsia="Times New Roman" w:hAnsi="Times New Roman" w:cs="Times New Roman"/>
          <w:sz w:val="28"/>
          <w:szCs w:val="28"/>
        </w:rPr>
        <w:t xml:space="preserve">определяется по формуле: </w:t>
      </w:r>
    </w:p>
    <w:p w:rsidR="00BD61AA" w:rsidRDefault="00BD61AA" w:rsidP="00BD61AA">
      <w:pPr>
        <w:tabs>
          <w:tab w:val="left" w:pos="845"/>
        </w:tabs>
        <w:spacing w:before="101" w:after="0" w:line="274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D61AA" w:rsidRDefault="00BD61AA" w:rsidP="00BD61AA">
      <w:pPr>
        <w:tabs>
          <w:tab w:val="left" w:pos="845"/>
        </w:tabs>
        <w:spacing w:before="101" w:after="0" w:line="27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тпр</w:t>
      </w:r>
      <w:r w:rsidRPr="00BD61AA">
        <w:rPr>
          <w:rFonts w:ascii="Times New Roman" w:hAnsi="Times New Roman" w:cs="Times New Roman"/>
          <w:sz w:val="28"/>
          <w:szCs w:val="28"/>
        </w:rPr>
        <w:t>=0.4</w:t>
      </w:r>
      <w:proofErr w:type="gram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gramEnd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заяв_тпр</w:t>
      </w:r>
      <w:r w:rsidRPr="00BD61AA">
        <w:rPr>
          <w:rFonts w:ascii="Times New Roman" w:hAnsi="Times New Roman" w:cs="Times New Roman"/>
          <w:sz w:val="28"/>
          <w:szCs w:val="28"/>
        </w:rPr>
        <w:t>+0.4xП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нс_тпр</w:t>
      </w:r>
      <w:r w:rsidRPr="00BD61AA">
        <w:rPr>
          <w:rFonts w:ascii="Times New Roman" w:hAnsi="Times New Roman" w:cs="Times New Roman"/>
          <w:sz w:val="28"/>
          <w:szCs w:val="28"/>
        </w:rPr>
        <w:t>+0,2*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нпа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_тп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1AA" w:rsidRPr="00BD61AA" w:rsidRDefault="00BD61AA" w:rsidP="00BD61AA">
      <w:pPr>
        <w:tabs>
          <w:tab w:val="left" w:pos="845"/>
        </w:tabs>
        <w:spacing w:before="101"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Default="00BD61AA" w:rsidP="00BD61AA">
      <w:pPr>
        <w:tabs>
          <w:tab w:val="left" w:pos="845"/>
        </w:tabs>
        <w:spacing w:before="101" w:after="0" w:line="274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 xml:space="preserve">Расчет показателей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заяв_тпр</w:t>
      </w:r>
      <w:proofErr w:type="spell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нс_тпр</w:t>
      </w:r>
      <w:proofErr w:type="spellEnd"/>
      <w:proofErr w:type="gramStart"/>
      <w:r w:rsidRPr="00BD61AA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нпа_тпр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осуществляется  в табл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D61AA">
        <w:rPr>
          <w:rFonts w:ascii="Times New Roman" w:hAnsi="Times New Roman" w:cs="Times New Roman"/>
          <w:sz w:val="28"/>
          <w:szCs w:val="28"/>
        </w:rPr>
        <w:t xml:space="preserve"> 3.1</w:t>
      </w:r>
      <w:r>
        <w:rPr>
          <w:rFonts w:ascii="Times New Roman" w:hAnsi="Times New Roman" w:cs="Times New Roman"/>
          <w:sz w:val="28"/>
          <w:szCs w:val="28"/>
        </w:rPr>
        <w:t>,3.2,3</w:t>
      </w:r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3,   где:</w:t>
      </w:r>
    </w:p>
    <w:p w:rsidR="00BD61AA" w:rsidRDefault="00BD61AA" w:rsidP="00BD61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заяв_тпр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- показатель качества рассмотрения заявок на технологическое присоединение к сети, определяемый исходя из рассмотрения заявок на технологическое присоединение к сети, полученных от заявителей;</w:t>
      </w:r>
    </w:p>
    <w:p w:rsidR="00BD61AA" w:rsidRPr="00BD61AA" w:rsidRDefault="00BD61AA" w:rsidP="00BD61AA">
      <w:pPr>
        <w:tabs>
          <w:tab w:val="left" w:pos="845"/>
        </w:tabs>
        <w:spacing w:before="101"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нс_тпр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D61AA">
        <w:rPr>
          <w:rFonts w:ascii="Times New Roman" w:hAnsi="Times New Roman" w:cs="Times New Roman"/>
          <w:sz w:val="28"/>
          <w:szCs w:val="28"/>
        </w:rPr>
        <w:t xml:space="preserve"> - показатель качества исполнения договоров об осуществлении технологического присоединения заявителей к сети;</w:t>
      </w:r>
    </w:p>
    <w:p w:rsidR="00BD61AA" w:rsidRDefault="00BD61AA" w:rsidP="00BD61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нпа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_тпр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</w:t>
      </w:r>
      <w:r w:rsidRPr="00BD61AA">
        <w:rPr>
          <w:rFonts w:ascii="Times New Roman" w:hAnsi="Times New Roman" w:cs="Times New Roman"/>
          <w:sz w:val="28"/>
          <w:szCs w:val="28"/>
        </w:rPr>
        <w:t>оказатель соблюдения антимонопольного законодательства при технологическом присоединении заявителей к электрич</w:t>
      </w:r>
      <w:r>
        <w:rPr>
          <w:rFonts w:ascii="Times New Roman" w:hAnsi="Times New Roman" w:cs="Times New Roman"/>
          <w:sz w:val="28"/>
          <w:szCs w:val="28"/>
        </w:rPr>
        <w:t>еским сетям сетевой организации.</w:t>
      </w:r>
    </w:p>
    <w:p w:rsidR="00BD61AA" w:rsidRPr="00BD61AA" w:rsidRDefault="00BD61AA" w:rsidP="00BD61AA">
      <w:pPr>
        <w:tabs>
          <w:tab w:val="left" w:pos="845"/>
        </w:tabs>
        <w:spacing w:before="101" w:after="0" w:line="27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тпр</w:t>
      </w:r>
      <w:r w:rsidRPr="00BD61AA">
        <w:rPr>
          <w:rFonts w:ascii="Times New Roman" w:hAnsi="Times New Roman" w:cs="Times New Roman"/>
          <w:sz w:val="28"/>
          <w:szCs w:val="28"/>
        </w:rPr>
        <w:t xml:space="preserve">=0.4x1+0.4x1+0,2*1=1  </w:t>
      </w: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r w:rsidRPr="00BD61AA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20" name="Рисунок 2" descr="base_1_220786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20786_9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perscript"/>
        </w:rPr>
        <w:t>пл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тпр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(1- К)</w:t>
      </w: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>1</w:t>
      </w:r>
      <w:r w:rsidRPr="00BD61AA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21" name="Рисунок 2" descr="base_1_220786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20786_9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1A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(1 - 0,3)</w:t>
      </w: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>1</w:t>
      </w:r>
      <w:r w:rsidRPr="00BD61AA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>
            <wp:extent cx="142875" cy="158750"/>
            <wp:effectExtent l="19050" t="0" r="0" b="0"/>
            <wp:docPr id="22" name="Рисунок 2" descr="base_1_220786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20786_9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1AA">
        <w:rPr>
          <w:rFonts w:ascii="Times New Roman" w:hAnsi="Times New Roman" w:cs="Times New Roman"/>
          <w:sz w:val="28"/>
          <w:szCs w:val="28"/>
        </w:rPr>
        <w:t xml:space="preserve"> 0,7</w:t>
      </w:r>
    </w:p>
    <w:p w:rsidR="00BD61AA" w:rsidRPr="00A27A3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(плановое значение </w:t>
      </w:r>
      <w:r w:rsidRPr="00A64639">
        <w:rPr>
          <w:rFonts w:ascii="Times New Roman" w:hAnsi="Times New Roman" w:cs="Times New Roman"/>
          <w:sz w:val="28"/>
          <w:szCs w:val="28"/>
        </w:rPr>
        <w:t>достигнут</w:t>
      </w:r>
      <w:r>
        <w:rPr>
          <w:rFonts w:ascii="Times New Roman" w:hAnsi="Times New Roman" w:cs="Times New Roman"/>
          <w:sz w:val="28"/>
          <w:szCs w:val="28"/>
        </w:rPr>
        <w:t>о)</w:t>
      </w:r>
    </w:p>
    <w:p w:rsidR="00BD61AA" w:rsidRDefault="00BD61AA" w:rsidP="00BD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 xml:space="preserve">Анализ </w:t>
      </w:r>
      <w:r w:rsidRPr="00BD61AA">
        <w:rPr>
          <w:rFonts w:ascii="Times New Roman" w:hAnsi="Times New Roman" w:cs="Times New Roman"/>
          <w:b/>
          <w:sz w:val="28"/>
          <w:szCs w:val="28"/>
        </w:rPr>
        <w:t>обобщенного показателя уровня надежности и качества</w:t>
      </w: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>Обобщенный показатель уровня надежности и качества оказываемых услуг (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K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) рассчитывается на основании сопоставления фактических значений показателей надежности и качества услуг с их плановыми значениями и учитывает результаты достижения плановых значений показателей с учетом соответствующих коэффициентов значимости для </w:t>
      </w:r>
      <w:r>
        <w:rPr>
          <w:rFonts w:ascii="Times New Roman" w:hAnsi="Times New Roman" w:cs="Times New Roman"/>
          <w:sz w:val="28"/>
          <w:szCs w:val="28"/>
        </w:rPr>
        <w:t>сетевой организаци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формы 7.1,7.2).</w:t>
      </w:r>
    </w:p>
    <w:p w:rsid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lastRenderedPageBreak/>
        <w:t>Значение обобщенного показателя уровня надежности и качества оказываемых услуг рассчитывается по формуле:</w:t>
      </w:r>
    </w:p>
    <w:p w:rsidR="00BD61AA" w:rsidRDefault="00BD61AA" w:rsidP="00BD61AA">
      <w:pPr>
        <w:pStyle w:val="ConsPlusNormal"/>
        <w:jc w:val="center"/>
      </w:pPr>
    </w:p>
    <w:p w:rsidR="00BD61AA" w:rsidRDefault="00BD61AA" w:rsidP="00BD61AA">
      <w:pPr>
        <w:pStyle w:val="ConsPlusNormal"/>
        <w:jc w:val="center"/>
      </w:pPr>
    </w:p>
    <w:p w:rsidR="00BD61AA" w:rsidRDefault="00BD61AA" w:rsidP="00BD61AA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2571750" cy="247650"/>
            <wp:effectExtent l="19050" t="0" r="0" b="0"/>
            <wp:docPr id="28" name="Рисунок 11" descr="base_1_210554_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210554_11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32"/>
          <w:szCs w:val="32"/>
        </w:rPr>
      </w:pPr>
      <w:r w:rsidRPr="00BD61A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61AA" w:rsidRPr="00BD61AA" w:rsidRDefault="00BD61AA" w:rsidP="00BD61AA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BD61AA">
        <w:rPr>
          <w:rFonts w:ascii="Times New Roman" w:hAnsi="Times New Roman" w:cs="Times New Roman"/>
          <w:sz w:val="32"/>
          <w:szCs w:val="32"/>
        </w:rPr>
        <w:t>где: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noProof/>
          <w:position w:val="-6"/>
          <w:sz w:val="28"/>
          <w:szCs w:val="28"/>
        </w:rPr>
        <w:drawing>
          <wp:inline distT="0" distB="0" distL="0" distR="0">
            <wp:extent cx="133350" cy="152400"/>
            <wp:effectExtent l="0" t="0" r="0" b="0"/>
            <wp:docPr id="26" name="Рисунок 2" descr="base_1_210554_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10554_107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1AA">
        <w:rPr>
          <w:rFonts w:ascii="Times New Roman" w:hAnsi="Times New Roman" w:cs="Times New Roman"/>
          <w:sz w:val="28"/>
          <w:szCs w:val="28"/>
        </w:rPr>
        <w:t xml:space="preserve"> и </w:t>
      </w:r>
      <w:r w:rsidRPr="00BD61AA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23825" cy="219075"/>
            <wp:effectExtent l="19050" t="0" r="0" b="0"/>
            <wp:docPr id="25" name="Рисунок 3" descr="base_1_210554_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210554_108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1AA">
        <w:rPr>
          <w:rFonts w:ascii="Times New Roman" w:hAnsi="Times New Roman" w:cs="Times New Roman"/>
          <w:sz w:val="28"/>
          <w:szCs w:val="28"/>
        </w:rPr>
        <w:t xml:space="preserve"> - коэффициенты значимости показателей надежности и качества оказываемых услуг: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619125" cy="209550"/>
            <wp:effectExtent l="0" t="0" r="9525" b="0"/>
            <wp:docPr id="24" name="Рисунок 4" descr="base_1_210554_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210554_109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1AA">
        <w:rPr>
          <w:rFonts w:ascii="Times New Roman" w:hAnsi="Times New Roman" w:cs="Times New Roman"/>
          <w:sz w:val="28"/>
          <w:szCs w:val="28"/>
        </w:rPr>
        <w:t xml:space="preserve">, </w:t>
      </w:r>
      <w:r w:rsidRPr="00BD61AA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600075" cy="219075"/>
            <wp:effectExtent l="19050" t="0" r="9525" b="0"/>
            <wp:docPr id="23" name="Рисунок 5" descr="base_1_210554_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210554_110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1AA">
        <w:rPr>
          <w:rFonts w:ascii="Times New Roman" w:hAnsi="Times New Roman" w:cs="Times New Roman"/>
          <w:sz w:val="28"/>
          <w:szCs w:val="28"/>
        </w:rPr>
        <w:t>;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D61AA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над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- коэффициент достижения (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>, перевыполнения) уровня надежности оказываемых услуг;</w:t>
      </w:r>
    </w:p>
    <w:p w:rsid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D61AA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кач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- коэффициент достижения (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>, перевыполнения) уровня качества оказываемых услуг.</w:t>
      </w:r>
    </w:p>
    <w:p w:rsid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 xml:space="preserve">Если плановое значение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достигнуто, то </w:t>
      </w:r>
      <w:proofErr w:type="spellStart"/>
      <w:proofErr w:type="gramStart"/>
      <w:r w:rsidRPr="00BD61AA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BD61AA">
        <w:rPr>
          <w:rFonts w:ascii="Times New Roman" w:hAnsi="Times New Roman" w:cs="Times New Roman"/>
          <w:sz w:val="28"/>
          <w:szCs w:val="28"/>
        </w:rPr>
        <w:t>над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= 0; не достигнуто -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Kнад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= -1; достигнуто со значительным улучшением -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Kнад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 xml:space="preserve">Если плановое значение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птр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для организации по управлению единой национальной (общероссийской) электрической сетью или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тсо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для территориальных сетевых организаций достигнуто, то для соответствующей сетевой организации </w:t>
      </w:r>
      <w:proofErr w:type="spellStart"/>
      <w:proofErr w:type="gramStart"/>
      <w:r w:rsidRPr="00BD61AA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кач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= 0; не достигнуто -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K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кач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= -1; достигнуто со значительным улучшением -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K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кач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BD61AA" w:rsidRDefault="00BD61AA" w:rsidP="00BD61AA">
      <w:pPr>
        <w:pStyle w:val="ConsPlusNormal"/>
        <w:ind w:firstLine="540"/>
        <w:jc w:val="both"/>
      </w:pP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1AA">
        <w:rPr>
          <w:rFonts w:ascii="Times New Roman" w:hAnsi="Times New Roman" w:cs="Times New Roman"/>
          <w:sz w:val="28"/>
          <w:szCs w:val="28"/>
        </w:rPr>
        <w:t xml:space="preserve">Если плановое значение </w:t>
      </w:r>
      <w:proofErr w:type="spellStart"/>
      <w:r w:rsidRPr="00BD61AA">
        <w:rPr>
          <w:rFonts w:ascii="Times New Roman" w:hAnsi="Times New Roman" w:cs="Times New Roman"/>
          <w:sz w:val="28"/>
          <w:szCs w:val="28"/>
        </w:rPr>
        <w:t>П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тсо</w:t>
      </w:r>
      <w:proofErr w:type="spellEnd"/>
      <w:r w:rsidRPr="00BD61AA">
        <w:rPr>
          <w:rFonts w:ascii="Times New Roman" w:hAnsi="Times New Roman" w:cs="Times New Roman"/>
          <w:sz w:val="28"/>
          <w:szCs w:val="28"/>
        </w:rPr>
        <w:t xml:space="preserve"> для территориальных сетевых организаций достигнуто, то K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кач2</w:t>
      </w:r>
      <w:r w:rsidRPr="00BD61AA">
        <w:rPr>
          <w:rFonts w:ascii="Times New Roman" w:hAnsi="Times New Roman" w:cs="Times New Roman"/>
          <w:sz w:val="28"/>
          <w:szCs w:val="28"/>
        </w:rPr>
        <w:t xml:space="preserve"> = 0; не достигнуто - K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кач2</w:t>
      </w:r>
      <w:r w:rsidRPr="00BD61AA">
        <w:rPr>
          <w:rFonts w:ascii="Times New Roman" w:hAnsi="Times New Roman" w:cs="Times New Roman"/>
          <w:sz w:val="28"/>
          <w:szCs w:val="28"/>
        </w:rPr>
        <w:t xml:space="preserve"> = -1; достигнуто со значительным улучшением - K</w:t>
      </w:r>
      <w:r w:rsidRPr="00BD61AA">
        <w:rPr>
          <w:rFonts w:ascii="Times New Roman" w:hAnsi="Times New Roman" w:cs="Times New Roman"/>
          <w:sz w:val="28"/>
          <w:szCs w:val="28"/>
          <w:vertAlign w:val="subscript"/>
        </w:rPr>
        <w:t>кач2</w:t>
      </w:r>
      <w:r w:rsidRPr="00BD61AA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анализа производственной деятельности АО «УСК» за отчетный период плановые значения показателей надежности и качества на 2020г. достигнуты.</w:t>
      </w:r>
      <w:r w:rsidRPr="00BD61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1AA" w:rsidRPr="00BD61AA" w:rsidRDefault="00BD61AA" w:rsidP="00B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D61AA" w:rsidRPr="00BD61AA" w:rsidRDefault="00BD61AA" w:rsidP="00BD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61AA" w:rsidRPr="00BD61AA" w:rsidRDefault="00BD61AA" w:rsidP="00BD61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BD61AA" w:rsidRPr="00BD61AA" w:rsidSect="00BD61AA">
      <w:type w:val="continuous"/>
      <w:pgSz w:w="11905" w:h="16837"/>
      <w:pgMar w:top="839" w:right="423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7E3" w:rsidRDefault="00FD05B1">
      <w:pPr>
        <w:spacing w:after="0" w:line="240" w:lineRule="auto"/>
      </w:pPr>
      <w:r>
        <w:separator/>
      </w:r>
    </w:p>
  </w:endnote>
  <w:endnote w:type="continuationSeparator" w:id="0">
    <w:p w:rsidR="00CD47E3" w:rsidRDefault="00FD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7E3" w:rsidRDefault="00FD05B1">
      <w:pPr>
        <w:spacing w:after="0" w:line="240" w:lineRule="auto"/>
      </w:pPr>
      <w:r>
        <w:separator/>
      </w:r>
    </w:p>
  </w:footnote>
  <w:footnote w:type="continuationSeparator" w:id="0">
    <w:p w:rsidR="00CD47E3" w:rsidRDefault="00FD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606F"/>
    <w:multiLevelType w:val="singleLevel"/>
    <w:tmpl w:val="DE0AE052"/>
    <w:lvl w:ilvl="0">
      <w:numFmt w:val="bullet"/>
      <w:lvlText w:val="•"/>
      <w:lvlJc w:val="left"/>
    </w:lvl>
  </w:abstractNum>
  <w:abstractNum w:abstractNumId="1">
    <w:nsid w:val="29D33A8C"/>
    <w:multiLevelType w:val="hybridMultilevel"/>
    <w:tmpl w:val="D79AD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C5A73"/>
    <w:multiLevelType w:val="singleLevel"/>
    <w:tmpl w:val="5296CC3E"/>
    <w:lvl w:ilvl="0">
      <w:start w:val="3"/>
      <w:numFmt w:val="decimal"/>
      <w:lvlText w:val="3.%1."/>
      <w:lvlJc w:val="left"/>
    </w:lvl>
  </w:abstractNum>
  <w:abstractNum w:abstractNumId="3">
    <w:nsid w:val="3286050A"/>
    <w:multiLevelType w:val="hybridMultilevel"/>
    <w:tmpl w:val="D79AD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73347"/>
    <w:multiLevelType w:val="hybridMultilevel"/>
    <w:tmpl w:val="D79AD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C0BEE"/>
    <w:multiLevelType w:val="hybridMultilevel"/>
    <w:tmpl w:val="D79AD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932DC6"/>
    <w:multiLevelType w:val="singleLevel"/>
    <w:tmpl w:val="7248C84C"/>
    <w:lvl w:ilvl="0">
      <w:start w:val="4"/>
      <w:numFmt w:val="decimal"/>
      <w:lvlText w:val="%1."/>
      <w:lvlJc w:val="left"/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6670D"/>
    <w:rsid w:val="003C0BA8"/>
    <w:rsid w:val="00960C1D"/>
    <w:rsid w:val="00BB776C"/>
    <w:rsid w:val="00BD61AA"/>
    <w:rsid w:val="00CD47E3"/>
    <w:rsid w:val="00E54978"/>
    <w:rsid w:val="00E6670D"/>
    <w:rsid w:val="00FD0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E6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E6670D"/>
    <w:pPr>
      <w:spacing w:after="0" w:line="283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E6670D"/>
    <w:pPr>
      <w:spacing w:after="0" w:line="27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E6670D"/>
    <w:pPr>
      <w:spacing w:after="0" w:line="3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">
    <w:name w:val="Style62"/>
    <w:basedOn w:val="a"/>
    <w:rsid w:val="00E6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E6670D"/>
    <w:pPr>
      <w:spacing w:after="0" w:line="276" w:lineRule="exact"/>
      <w:ind w:firstLine="56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">
    <w:name w:val="Style87"/>
    <w:basedOn w:val="a"/>
    <w:rsid w:val="00E6670D"/>
    <w:pPr>
      <w:spacing w:after="0" w:line="324" w:lineRule="exact"/>
      <w:ind w:firstLine="75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">
    <w:name w:val="Style50"/>
    <w:basedOn w:val="a"/>
    <w:rsid w:val="00E6670D"/>
    <w:pPr>
      <w:spacing w:after="0" w:line="31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">
    <w:name w:val="Style79"/>
    <w:basedOn w:val="a"/>
    <w:rsid w:val="00E6670D"/>
    <w:pPr>
      <w:spacing w:after="0" w:line="307" w:lineRule="exact"/>
      <w:ind w:firstLine="110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rsid w:val="00E6670D"/>
    <w:pPr>
      <w:spacing w:after="0" w:line="221" w:lineRule="exact"/>
      <w:ind w:firstLine="89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">
    <w:name w:val="Style22"/>
    <w:basedOn w:val="a"/>
    <w:rsid w:val="00E6670D"/>
    <w:pPr>
      <w:spacing w:after="0" w:line="178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">
    <w:name w:val="Style129"/>
    <w:basedOn w:val="a"/>
    <w:rsid w:val="00E6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rsid w:val="00E6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">
    <w:name w:val="Style118"/>
    <w:basedOn w:val="a"/>
    <w:rsid w:val="00E6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">
    <w:name w:val="Style85"/>
    <w:basedOn w:val="a"/>
    <w:rsid w:val="00E6670D"/>
    <w:pPr>
      <w:spacing w:after="0" w:line="278" w:lineRule="exact"/>
      <w:ind w:firstLine="85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">
    <w:name w:val="Style60"/>
    <w:basedOn w:val="a"/>
    <w:rsid w:val="00E6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">
    <w:name w:val="Style96"/>
    <w:basedOn w:val="a"/>
    <w:rsid w:val="00E6670D"/>
    <w:pPr>
      <w:spacing w:after="0" w:line="293" w:lineRule="exact"/>
      <w:ind w:firstLine="295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">
    <w:name w:val="Style66"/>
    <w:basedOn w:val="a"/>
    <w:rsid w:val="00E6670D"/>
    <w:pPr>
      <w:spacing w:after="0" w:line="288" w:lineRule="exact"/>
      <w:ind w:firstLine="101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">
    <w:name w:val="Style57"/>
    <w:basedOn w:val="a"/>
    <w:rsid w:val="00E6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">
    <w:name w:val="Style64"/>
    <w:basedOn w:val="a"/>
    <w:rsid w:val="00E6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">
    <w:name w:val="Style120"/>
    <w:basedOn w:val="a"/>
    <w:rsid w:val="00E6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">
    <w:name w:val="Style70"/>
    <w:basedOn w:val="a"/>
    <w:rsid w:val="00E6670D"/>
    <w:pPr>
      <w:spacing w:after="0" w:line="286" w:lineRule="exact"/>
      <w:ind w:firstLine="85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">
    <w:name w:val="Style97"/>
    <w:basedOn w:val="a"/>
    <w:rsid w:val="00E6670D"/>
    <w:pPr>
      <w:spacing w:after="0" w:line="276" w:lineRule="exact"/>
      <w:ind w:firstLine="57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">
    <w:name w:val="Style48"/>
    <w:basedOn w:val="a"/>
    <w:rsid w:val="00E6670D"/>
    <w:pPr>
      <w:spacing w:after="0" w:line="275" w:lineRule="exact"/>
      <w:ind w:firstLine="57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">
    <w:name w:val="Style49"/>
    <w:basedOn w:val="a"/>
    <w:rsid w:val="00E6670D"/>
    <w:pPr>
      <w:spacing w:after="0" w:line="341" w:lineRule="exact"/>
      <w:ind w:firstLine="48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E6670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">
    <w:name w:val="CharStyle1"/>
    <w:basedOn w:val="a0"/>
    <w:rsid w:val="00E6670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4">
    <w:name w:val="CharStyle4"/>
    <w:basedOn w:val="a0"/>
    <w:rsid w:val="00E6670D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6">
    <w:name w:val="CharStyle6"/>
    <w:basedOn w:val="a0"/>
    <w:rsid w:val="00E6670D"/>
    <w:rPr>
      <w:rFonts w:ascii="Cambria" w:eastAsia="Cambria" w:hAnsi="Cambria" w:cs="Cambria"/>
      <w:b w:val="0"/>
      <w:bCs w:val="0"/>
      <w:i/>
      <w:iCs/>
      <w:smallCaps w:val="0"/>
      <w:sz w:val="20"/>
      <w:szCs w:val="20"/>
    </w:rPr>
  </w:style>
  <w:style w:type="character" w:customStyle="1" w:styleId="CharStyle10">
    <w:name w:val="CharStyle10"/>
    <w:basedOn w:val="a0"/>
    <w:rsid w:val="00E6670D"/>
    <w:rPr>
      <w:rFonts w:ascii="Times New Roman" w:eastAsia="Times New Roman" w:hAnsi="Times New Roman" w:cs="Times New Roman"/>
      <w:b/>
      <w:bCs/>
      <w:i w:val="0"/>
      <w:iCs w:val="0"/>
      <w:smallCaps w:val="0"/>
      <w:sz w:val="50"/>
      <w:szCs w:val="50"/>
    </w:rPr>
  </w:style>
  <w:style w:type="character" w:customStyle="1" w:styleId="CharStyle22">
    <w:name w:val="CharStyle22"/>
    <w:basedOn w:val="a0"/>
    <w:rsid w:val="00E6670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3">
    <w:name w:val="CharStyle23"/>
    <w:basedOn w:val="a0"/>
    <w:rsid w:val="00E6670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2"/>
      <w:szCs w:val="12"/>
    </w:rPr>
  </w:style>
  <w:style w:type="character" w:customStyle="1" w:styleId="CharStyle28">
    <w:name w:val="CharStyle28"/>
    <w:basedOn w:val="a0"/>
    <w:rsid w:val="00E6670D"/>
    <w:rPr>
      <w:rFonts w:ascii="Georgia" w:eastAsia="Georgia" w:hAnsi="Georgia" w:cs="Georgia"/>
      <w:b/>
      <w:bCs/>
      <w:i/>
      <w:iCs/>
      <w:smallCaps w:val="0"/>
      <w:spacing w:val="10"/>
      <w:sz w:val="10"/>
      <w:szCs w:val="10"/>
    </w:rPr>
  </w:style>
  <w:style w:type="character" w:customStyle="1" w:styleId="CharStyle29">
    <w:name w:val="CharStyle29"/>
    <w:basedOn w:val="a0"/>
    <w:rsid w:val="00E6670D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0">
    <w:name w:val="CharStyle30"/>
    <w:basedOn w:val="a0"/>
    <w:rsid w:val="00E6670D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0"/>
      <w:szCs w:val="10"/>
    </w:rPr>
  </w:style>
  <w:style w:type="character" w:customStyle="1" w:styleId="CharStyle38">
    <w:name w:val="CharStyle38"/>
    <w:basedOn w:val="a0"/>
    <w:rsid w:val="00E6670D"/>
    <w:rPr>
      <w:rFonts w:ascii="Sylfaen" w:eastAsia="Sylfaen" w:hAnsi="Sylfaen" w:cs="Sylfaen"/>
      <w:b w:val="0"/>
      <w:bCs w:val="0"/>
      <w:i/>
      <w:iCs/>
      <w:smallCaps w:val="0"/>
      <w:spacing w:val="10"/>
      <w:sz w:val="20"/>
      <w:szCs w:val="20"/>
    </w:rPr>
  </w:style>
  <w:style w:type="character" w:customStyle="1" w:styleId="CharStyle58">
    <w:name w:val="CharStyle58"/>
    <w:basedOn w:val="a0"/>
    <w:rsid w:val="00E6670D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59">
    <w:name w:val="CharStyle59"/>
    <w:basedOn w:val="a0"/>
    <w:rsid w:val="00E6670D"/>
    <w:rPr>
      <w:rFonts w:ascii="Times New Roman" w:eastAsia="Times New Roman" w:hAnsi="Times New Roman" w:cs="Times New Roman"/>
      <w:b w:val="0"/>
      <w:bCs w:val="0"/>
      <w:i/>
      <w:iCs/>
      <w:smallCaps w:val="0"/>
      <w:sz w:val="16"/>
      <w:szCs w:val="16"/>
    </w:rPr>
  </w:style>
  <w:style w:type="character" w:customStyle="1" w:styleId="CharStyle60">
    <w:name w:val="CharStyle60"/>
    <w:basedOn w:val="a0"/>
    <w:rsid w:val="00E6670D"/>
    <w:rPr>
      <w:rFonts w:ascii="Georgia" w:eastAsia="Georgia" w:hAnsi="Georgia" w:cs="Georgia"/>
      <w:b w:val="0"/>
      <w:bCs w:val="0"/>
      <w:i/>
      <w:iCs/>
      <w:smallCaps w:val="0"/>
      <w:spacing w:val="-20"/>
      <w:sz w:val="16"/>
      <w:szCs w:val="16"/>
    </w:rPr>
  </w:style>
  <w:style w:type="character" w:customStyle="1" w:styleId="CharStyle65">
    <w:name w:val="CharStyle65"/>
    <w:basedOn w:val="a0"/>
    <w:rsid w:val="00E6670D"/>
    <w:rPr>
      <w:rFonts w:ascii="Georgia" w:eastAsia="Georgia" w:hAnsi="Georgia" w:cs="Georgia"/>
      <w:b w:val="0"/>
      <w:bCs w:val="0"/>
      <w:i w:val="0"/>
      <w:iCs w:val="0"/>
      <w:smallCaps w:val="0"/>
      <w:sz w:val="14"/>
      <w:szCs w:val="14"/>
    </w:rPr>
  </w:style>
  <w:style w:type="character" w:customStyle="1" w:styleId="CharStyle66">
    <w:name w:val="CharStyle66"/>
    <w:basedOn w:val="a0"/>
    <w:rsid w:val="00E6670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70">
    <w:name w:val="CharStyle70"/>
    <w:basedOn w:val="a0"/>
    <w:rsid w:val="00E6670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3">
    <w:name w:val="CharStyle73"/>
    <w:basedOn w:val="a0"/>
    <w:rsid w:val="00E6670D"/>
    <w:rPr>
      <w:rFonts w:ascii="Cambria" w:eastAsia="Cambria" w:hAnsi="Cambria" w:cs="Cambria"/>
      <w:b/>
      <w:bCs/>
      <w:i w:val="0"/>
      <w:iCs w:val="0"/>
      <w:smallCaps w:val="0"/>
      <w:sz w:val="14"/>
      <w:szCs w:val="14"/>
    </w:rPr>
  </w:style>
  <w:style w:type="character" w:customStyle="1" w:styleId="CharStyle78">
    <w:name w:val="CharStyle78"/>
    <w:basedOn w:val="a0"/>
    <w:rsid w:val="00E6670D"/>
    <w:rPr>
      <w:rFonts w:ascii="Times New Roman" w:eastAsia="Times New Roman" w:hAnsi="Times New Roman" w:cs="Times New Roman"/>
      <w:b w:val="0"/>
      <w:bCs w:val="0"/>
      <w:i/>
      <w:iCs/>
      <w:smallCaps w:val="0"/>
      <w:spacing w:val="10"/>
      <w:sz w:val="20"/>
      <w:szCs w:val="20"/>
    </w:rPr>
  </w:style>
  <w:style w:type="character" w:customStyle="1" w:styleId="CharStyle79">
    <w:name w:val="CharStyle79"/>
    <w:basedOn w:val="a0"/>
    <w:rsid w:val="00E6670D"/>
    <w:rPr>
      <w:rFonts w:ascii="Cambria" w:eastAsia="Cambria" w:hAnsi="Cambria" w:cs="Cambria"/>
      <w:b w:val="0"/>
      <w:bCs w:val="0"/>
      <w:i w:val="0"/>
      <w:iCs w:val="0"/>
      <w:smallCaps w:val="0"/>
      <w:sz w:val="20"/>
      <w:szCs w:val="20"/>
    </w:rPr>
  </w:style>
  <w:style w:type="character" w:customStyle="1" w:styleId="CharStyle81">
    <w:name w:val="CharStyle81"/>
    <w:basedOn w:val="a0"/>
    <w:rsid w:val="00E6670D"/>
    <w:rPr>
      <w:rFonts w:ascii="Times New Roman" w:eastAsia="Times New Roman" w:hAnsi="Times New Roman" w:cs="Times New Roman"/>
      <w:b w:val="0"/>
      <w:bCs w:val="0"/>
      <w:i/>
      <w:iCs/>
      <w:smallCaps w:val="0"/>
      <w:spacing w:val="10"/>
      <w:sz w:val="14"/>
      <w:szCs w:val="14"/>
    </w:rPr>
  </w:style>
  <w:style w:type="character" w:customStyle="1" w:styleId="CharStyle84">
    <w:name w:val="CharStyle84"/>
    <w:basedOn w:val="a0"/>
    <w:rsid w:val="00E6670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2"/>
      <w:szCs w:val="12"/>
    </w:rPr>
  </w:style>
  <w:style w:type="character" w:customStyle="1" w:styleId="CharStyle86">
    <w:name w:val="CharStyle86"/>
    <w:basedOn w:val="a0"/>
    <w:rsid w:val="00E6670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87">
    <w:name w:val="CharStyle87"/>
    <w:basedOn w:val="a0"/>
    <w:rsid w:val="00E6670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D6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1A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61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List Paragraph"/>
    <w:basedOn w:val="a"/>
    <w:uiPriority w:val="34"/>
    <w:qFormat/>
    <w:rsid w:val="00BD61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&lt;4D6963726F736F667420576F7264202D20CFEEFFF1EDE8F2E5EBFCEDE0FF20E7E0EFE8F1EAE02E646F6378&gt;</vt:lpstr>
    </vt:vector>
  </TitlesOfParts>
  <Company>USK</Company>
  <LinksUpToDate>false</LinksUpToDate>
  <CharactersWithSpaces>7487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&lt;4D6963726F736F667420576F7264202D20CFEEFFF1EDE8F2E5EBFCEDE0FF20E7E0EFE8F1EAE02E646F6378&gt;</dc:title>
  <dc:subject/>
  <dc:creator>viatkin</dc:creator>
  <cp:keywords/>
  <dc:description/>
  <cp:lastModifiedBy>israfilova_em</cp:lastModifiedBy>
  <cp:revision>3</cp:revision>
  <dcterms:created xsi:type="dcterms:W3CDTF">2021-03-25T10:34:00Z</dcterms:created>
  <dcterms:modified xsi:type="dcterms:W3CDTF">2021-03-25T11:40:00Z</dcterms:modified>
</cp:coreProperties>
</file>