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98" w:rsidRDefault="00B20B98" w:rsidP="00B20B98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  <w:proofErr w:type="gramStart"/>
      <w:r w:rsidRPr="0031254C">
        <w:rPr>
          <w:rFonts w:ascii="Calibri" w:hAnsi="Calibri" w:cs="Calibri"/>
        </w:rPr>
        <w:t xml:space="preserve">МИНЭКОНОМИКИ УЛЬЯНОВСКОЙ ОБЛАСТИ ПРИКАЗ от 15 февраля </w:t>
      </w:r>
      <w:smartTag w:uri="urn:schemas-microsoft-com:office:smarttags" w:element="metricconverter">
        <w:smartTagPr>
          <w:attr w:name="ProductID" w:val="2010 г"/>
        </w:smartTagPr>
        <w:r w:rsidRPr="0031254C">
          <w:rPr>
            <w:rFonts w:ascii="Calibri" w:hAnsi="Calibri" w:cs="Calibri"/>
          </w:rPr>
          <w:t>2010 г</w:t>
        </w:r>
      </w:smartTag>
      <w:r w:rsidRPr="0031254C">
        <w:rPr>
          <w:rFonts w:ascii="Calibri" w:hAnsi="Calibri" w:cs="Calibri"/>
        </w:rPr>
        <w:t xml:space="preserve">. N 06-12 ОБ УТВЕРЖДЕНИИ РАЗМЕРА ПЛАТЫ ЗА ТЕХНОЛОГИЧЕСКОЕ ПРИСОЕДИНЕНИЕ К ЭЛЕКТРИЧЕСКИМ СЕТЯМ ОТКРЫТОГО АКЦИОНЕРНОГО ОБЩЕСТВА "УЛЬЯНОВСКАЯ СЕТЕВАЯ КОМПАНИЯ" (в ред. </w:t>
      </w:r>
      <w:hyperlink r:id="rId4" w:history="1">
        <w:r w:rsidRPr="0031254C">
          <w:rPr>
            <w:rFonts w:ascii="Calibri" w:hAnsi="Calibri" w:cs="Calibri"/>
            <w:color w:val="0000FF"/>
          </w:rPr>
          <w:t>Приказа</w:t>
        </w:r>
      </w:hyperlink>
      <w:r w:rsidRPr="0031254C">
        <w:rPr>
          <w:rFonts w:ascii="Calibri" w:hAnsi="Calibri" w:cs="Calibri"/>
        </w:rPr>
        <w:t xml:space="preserve"> Минэкономики Ульяновской области от 21.06.2010 N 06-66) </w:t>
      </w:r>
      <w:r w:rsidRPr="0031254C">
        <w:rPr>
          <w:rFonts w:ascii="Calibri" w:hAnsi="Calibri" w:cs="Calibri"/>
          <w:i/>
          <w:iCs/>
        </w:rPr>
        <w:t>(Приказ Минэкономики Ульяновской обл. от 15.02.2010 N 06-12 (ред. от 21.06.2010) "Об утверждении размера платы за технологическое присоединение к электрическим сетям Открытого акционерного</w:t>
      </w:r>
      <w:proofErr w:type="gramEnd"/>
      <w:r w:rsidRPr="0031254C">
        <w:rPr>
          <w:rFonts w:ascii="Calibri" w:hAnsi="Calibri" w:cs="Calibri"/>
          <w:i/>
          <w:iCs/>
        </w:rPr>
        <w:t xml:space="preserve"> общества "Ульяновская сетевая компания")</w:t>
      </w:r>
    </w:p>
    <w:p w:rsidR="00B20B98" w:rsidRPr="00B20B98" w:rsidRDefault="00B20B98" w:rsidP="00B20B98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 Black" w:hAnsi="Arial Black" w:cs="Calibri"/>
        </w:rPr>
      </w:pPr>
      <w:r w:rsidRPr="0031254C">
        <w:rPr>
          <w:rFonts w:ascii="Arial Black" w:hAnsi="Arial Black" w:cs="Calibri"/>
        </w:rPr>
        <w:t>СТАВКА ПЛАТЫ</w:t>
      </w:r>
    </w:p>
    <w:p w:rsidR="00B20B98" w:rsidRPr="0031254C" w:rsidRDefault="00B20B98" w:rsidP="00B20B98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 Black" w:hAnsi="Arial Black" w:cs="Calibri"/>
        </w:rPr>
      </w:pPr>
      <w:r w:rsidRPr="0031254C">
        <w:rPr>
          <w:rFonts w:ascii="Arial Black" w:hAnsi="Arial Black" w:cs="Calibri"/>
        </w:rPr>
        <w:t xml:space="preserve">за технологическое присоединение </w:t>
      </w:r>
      <w:proofErr w:type="spellStart"/>
      <w:r w:rsidRPr="0031254C">
        <w:rPr>
          <w:rFonts w:ascii="Arial Black" w:hAnsi="Arial Black" w:cs="Calibri"/>
        </w:rPr>
        <w:t>энергопринимающих</w:t>
      </w:r>
      <w:proofErr w:type="spellEnd"/>
    </w:p>
    <w:p w:rsidR="00B20B98" w:rsidRPr="0031254C" w:rsidRDefault="00B20B98" w:rsidP="00B20B98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 Black" w:hAnsi="Arial Black" w:cs="Calibri"/>
        </w:rPr>
      </w:pPr>
      <w:r w:rsidRPr="0031254C">
        <w:rPr>
          <w:rFonts w:ascii="Arial Black" w:hAnsi="Arial Black" w:cs="Calibri"/>
        </w:rPr>
        <w:t xml:space="preserve">устройств (энергетических установок) к </w:t>
      </w:r>
      <w:proofErr w:type="gramStart"/>
      <w:r w:rsidRPr="0031254C">
        <w:rPr>
          <w:rFonts w:ascii="Arial Black" w:hAnsi="Arial Black" w:cs="Calibri"/>
        </w:rPr>
        <w:t>электрическим</w:t>
      </w:r>
      <w:proofErr w:type="gramEnd"/>
    </w:p>
    <w:p w:rsidR="00B20B98" w:rsidRPr="0031254C" w:rsidRDefault="00B20B98" w:rsidP="00B20B98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Calibri" w:hAnsi="Calibri" w:cs="Calibri"/>
        </w:rPr>
      </w:pPr>
      <w:r w:rsidRPr="0031254C">
        <w:rPr>
          <w:rFonts w:ascii="Arial Black" w:hAnsi="Arial Black" w:cs="Calibri"/>
        </w:rPr>
        <w:t>сетям ОАО "УСК"</w:t>
      </w:r>
    </w:p>
    <w:tbl>
      <w:tblPr>
        <w:tblW w:w="9900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000"/>
      </w:tblPr>
      <w:tblGrid>
        <w:gridCol w:w="540"/>
        <w:gridCol w:w="4050"/>
        <w:gridCol w:w="5310"/>
      </w:tblGrid>
      <w:tr w:rsidR="00B20B98" w:rsidRPr="00B71E04" w:rsidTr="00B20B98">
        <w:trPr>
          <w:trHeight w:val="48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Уровень напряжения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Ставка платы за технологическое 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присоединение к одному источнику 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энергоснабжения, руб./кВт (без НДС)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1. </w:t>
            </w:r>
          </w:p>
        </w:tc>
        <w:tc>
          <w:tcPr>
            <w:tcW w:w="9360" w:type="dxa"/>
            <w:gridSpan w:val="2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proofErr w:type="gramStart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Заявители, кроме указанных в пунктах 2 - 5 настоящей таблицы </w:t>
            </w:r>
            <w:proofErr w:type="gramEnd"/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1.1</w:t>
            </w: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НН (0,4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6783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1.2</w:t>
            </w:r>
          </w:p>
        </w:tc>
        <w:tc>
          <w:tcPr>
            <w:tcW w:w="4050" w:type="dxa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СН 2 (6 - 10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6783 </w:t>
            </w:r>
          </w:p>
        </w:tc>
      </w:tr>
      <w:tr w:rsidR="00B20B98" w:rsidRPr="00B71E04" w:rsidTr="00B20B98">
        <w:trPr>
          <w:trHeight w:val="48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9360" w:type="dxa"/>
            <w:gridSpan w:val="2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Заявители - юридические лица или индивидуальные предприниматели,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суммарная присоединенная мощность </w:t>
            </w:r>
            <w:proofErr w:type="spellStart"/>
            <w:r w:rsidRPr="00B71E04">
              <w:rPr>
                <w:rFonts w:ascii="Calibri" w:hAnsi="Calibri" w:cs="Times New Roman"/>
                <w:sz w:val="22"/>
                <w:szCs w:val="22"/>
              </w:rPr>
              <w:t>энергопринимающих</w:t>
            </w:r>
            <w:proofErr w:type="spellEnd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proofErr w:type="gramStart"/>
            <w:r w:rsidRPr="00B71E04">
              <w:rPr>
                <w:rFonts w:ascii="Calibri" w:hAnsi="Calibri" w:cs="Times New Roman"/>
                <w:sz w:val="22"/>
                <w:szCs w:val="22"/>
              </w:rPr>
              <w:t>устройств</w:t>
            </w:r>
            <w:proofErr w:type="gramEnd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 которых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не превышает 750 </w:t>
            </w:r>
            <w:proofErr w:type="spellStart"/>
            <w:r w:rsidRPr="00B71E04">
              <w:rPr>
                <w:rFonts w:ascii="Calibri" w:hAnsi="Calibri" w:cs="Times New Roman"/>
                <w:sz w:val="22"/>
                <w:szCs w:val="22"/>
              </w:rPr>
              <w:t>кВА</w:t>
            </w:r>
            <w:proofErr w:type="spellEnd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2.1</w:t>
            </w:r>
          </w:p>
        </w:tc>
        <w:tc>
          <w:tcPr>
            <w:tcW w:w="4050" w:type="dxa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НН (0,4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2.2</w:t>
            </w: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СН 2 (6 - 10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  <w:tr w:rsidR="00B20B98" w:rsidRPr="00B71E04" w:rsidTr="00B20B98">
        <w:trPr>
          <w:trHeight w:val="72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3. </w:t>
            </w:r>
          </w:p>
        </w:tc>
        <w:tc>
          <w:tcPr>
            <w:tcW w:w="9360" w:type="dxa"/>
            <w:gridSpan w:val="2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Заявители - юридические лица или индивидуальные предприниматели, в целях технологического присоединения по одному источнику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электроснабжения </w:t>
            </w:r>
            <w:proofErr w:type="spellStart"/>
            <w:r w:rsidRPr="00B71E04">
              <w:rPr>
                <w:rFonts w:ascii="Calibri" w:hAnsi="Calibri" w:cs="Times New Roman"/>
                <w:sz w:val="22"/>
                <w:szCs w:val="22"/>
              </w:rPr>
              <w:t>энергопринимающих</w:t>
            </w:r>
            <w:proofErr w:type="spellEnd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 устройств, максимальная мощность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которых составляет до 100 к</w:t>
            </w:r>
            <w:proofErr w:type="gramStart"/>
            <w:r w:rsidRPr="00B71E04">
              <w:rPr>
                <w:rFonts w:ascii="Calibri" w:hAnsi="Calibri" w:cs="Times New Roman"/>
                <w:sz w:val="22"/>
                <w:szCs w:val="22"/>
              </w:rPr>
              <w:t>Вт вкл</w:t>
            </w:r>
            <w:proofErr w:type="gramEnd"/>
            <w:r w:rsidRPr="00B71E04">
              <w:rPr>
                <w:rFonts w:ascii="Calibri" w:hAnsi="Calibri" w:cs="Times New Roman"/>
                <w:sz w:val="22"/>
                <w:szCs w:val="22"/>
              </w:rPr>
              <w:t>ючительно (с учетом ранее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присоединенной в данной точке присоединения мощности)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3.1</w:t>
            </w: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НН (0,4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3.2</w:t>
            </w:r>
          </w:p>
        </w:tc>
        <w:tc>
          <w:tcPr>
            <w:tcW w:w="4050" w:type="dxa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СН 2 (6 - 10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  <w:tr w:rsidR="00B20B98" w:rsidRPr="00B71E04" w:rsidTr="00B20B98">
        <w:trPr>
          <w:trHeight w:val="72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4. </w:t>
            </w:r>
          </w:p>
        </w:tc>
        <w:tc>
          <w:tcPr>
            <w:tcW w:w="9360" w:type="dxa"/>
            <w:gridSpan w:val="2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Заявители в целях временного (на срок не более 6 месяцев)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технологического присоединения принадлежащих им </w:t>
            </w:r>
            <w:proofErr w:type="spellStart"/>
            <w:r w:rsidRPr="00B71E04">
              <w:rPr>
                <w:rFonts w:ascii="Calibri" w:hAnsi="Calibri" w:cs="Times New Roman"/>
                <w:sz w:val="22"/>
                <w:szCs w:val="22"/>
              </w:rPr>
              <w:t>энергопринимающих</w:t>
            </w:r>
            <w:proofErr w:type="spellEnd"/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устрой</w:t>
            </w:r>
            <w:proofErr w:type="gramStart"/>
            <w:r w:rsidRPr="00B71E04">
              <w:rPr>
                <w:rFonts w:ascii="Calibri" w:hAnsi="Calibri" w:cs="Times New Roman"/>
                <w:sz w:val="22"/>
                <w:szCs w:val="22"/>
              </w:rPr>
              <w:t>ств дл</w:t>
            </w:r>
            <w:proofErr w:type="gramEnd"/>
            <w:r w:rsidRPr="00B71E04">
              <w:rPr>
                <w:rFonts w:ascii="Calibri" w:hAnsi="Calibri" w:cs="Times New Roman"/>
                <w:sz w:val="22"/>
                <w:szCs w:val="22"/>
              </w:rPr>
              <w:t>я обеспечения электрической энергией передвижных объектов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с максимальной мощностью до 100 кВт включительно (с учетом ранее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присоединенной в данной точке присоединения мощности)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4.1</w:t>
            </w:r>
          </w:p>
        </w:tc>
        <w:tc>
          <w:tcPr>
            <w:tcW w:w="4050" w:type="dxa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НН (0,4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138,14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4.2</w:t>
            </w: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СН 2 (6 - 10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138,14 </w:t>
            </w:r>
          </w:p>
        </w:tc>
      </w:tr>
      <w:tr w:rsidR="00B20B98" w:rsidRPr="00B71E04" w:rsidTr="00B20B98">
        <w:trPr>
          <w:trHeight w:val="8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5. </w:t>
            </w:r>
          </w:p>
        </w:tc>
        <w:tc>
          <w:tcPr>
            <w:tcW w:w="9360" w:type="dxa"/>
            <w:gridSpan w:val="2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proofErr w:type="gramStart"/>
            <w:r w:rsidRPr="00B71E04">
              <w:rPr>
                <w:rFonts w:ascii="Calibri" w:hAnsi="Calibri" w:cs="Times New Roman"/>
                <w:sz w:val="22"/>
                <w:szCs w:val="22"/>
              </w:rPr>
              <w:t>Заявители - физические лица в целях технологического присоединения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</w:r>
            <w:proofErr w:type="spellStart"/>
            <w:r w:rsidRPr="00B71E04">
              <w:rPr>
                <w:rFonts w:ascii="Calibri" w:hAnsi="Calibri" w:cs="Times New Roman"/>
                <w:sz w:val="22"/>
                <w:szCs w:val="22"/>
              </w:rPr>
              <w:t>энергопринимающих</w:t>
            </w:r>
            <w:proofErr w:type="spellEnd"/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 устройств, максимальная мощность которых составляет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до 15 кВт включительно (с учетом ранее присоединенной в данной точке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присоединения мощности), которые используются для бытовых и иных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>нужд, не связанных с осуществлением предпринимательской деятельности,</w:t>
            </w:r>
            <w:r w:rsidRPr="00B71E04">
              <w:rPr>
                <w:rFonts w:ascii="Calibri" w:hAnsi="Calibri" w:cs="Times New Roman"/>
                <w:sz w:val="22"/>
                <w:szCs w:val="22"/>
              </w:rPr>
              <w:br/>
              <w:t xml:space="preserve">и электроснабжение которых предусматривается по одному источнику </w:t>
            </w:r>
            <w:proofErr w:type="gramEnd"/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5.1</w:t>
            </w:r>
          </w:p>
        </w:tc>
        <w:tc>
          <w:tcPr>
            <w:tcW w:w="405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НН (0,4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  <w:tr w:rsidR="00B20B98" w:rsidRPr="00B71E04" w:rsidTr="00B20B98">
        <w:trPr>
          <w:trHeight w:val="240"/>
        </w:trPr>
        <w:tc>
          <w:tcPr>
            <w:tcW w:w="54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>5.2</w:t>
            </w:r>
          </w:p>
        </w:tc>
        <w:tc>
          <w:tcPr>
            <w:tcW w:w="4050" w:type="dxa"/>
            <w:shd w:val="clear" w:color="auto" w:fill="E6EED5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СН 2 (6 - 10 кВ) </w:t>
            </w:r>
          </w:p>
        </w:tc>
        <w:tc>
          <w:tcPr>
            <w:tcW w:w="5310" w:type="dxa"/>
            <w:shd w:val="clear" w:color="auto" w:fill="CDDDAC"/>
          </w:tcPr>
          <w:p w:rsidR="00B20B98" w:rsidRPr="00B71E04" w:rsidRDefault="00B20B98" w:rsidP="00793132">
            <w:pPr>
              <w:pStyle w:val="ConsPlusCell"/>
              <w:widowControl/>
              <w:rPr>
                <w:rFonts w:ascii="Calibri" w:hAnsi="Calibri" w:cs="Times New Roman"/>
                <w:sz w:val="22"/>
                <w:szCs w:val="22"/>
              </w:rPr>
            </w:pPr>
            <w:r w:rsidRPr="00B71E04">
              <w:rPr>
                <w:rFonts w:ascii="Calibri" w:hAnsi="Calibri" w:cs="Times New Roman"/>
                <w:sz w:val="22"/>
                <w:szCs w:val="22"/>
              </w:rPr>
              <w:t xml:space="preserve">6741,36 </w:t>
            </w:r>
          </w:p>
        </w:tc>
      </w:tr>
    </w:tbl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 w:rsidRPr="0031254C">
        <w:rPr>
          <w:rFonts w:ascii="Calibri" w:hAnsi="Calibri" w:cs="Calibri"/>
        </w:rPr>
        <w:t>Примечание:</w:t>
      </w: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 w:rsidRPr="0031254C">
        <w:rPr>
          <w:rFonts w:ascii="Calibri" w:hAnsi="Calibri" w:cs="Calibri"/>
        </w:rPr>
        <w:lastRenderedPageBreak/>
        <w:t xml:space="preserve">1. Размер платы за технологическое присоединение </w:t>
      </w:r>
      <w:proofErr w:type="spellStart"/>
      <w:r w:rsidRPr="0031254C">
        <w:rPr>
          <w:rFonts w:ascii="Calibri" w:hAnsi="Calibri" w:cs="Calibri"/>
        </w:rPr>
        <w:t>энергопринимающих</w:t>
      </w:r>
      <w:proofErr w:type="spellEnd"/>
      <w:r w:rsidRPr="0031254C">
        <w:rPr>
          <w:rFonts w:ascii="Calibri" w:hAnsi="Calibri" w:cs="Calibri"/>
        </w:rPr>
        <w:t xml:space="preserve"> устройств определяется с учетом запрашиваемой заявителем категории надежности электроснабжения в соответствии с </w:t>
      </w:r>
      <w:hyperlink r:id="rId5" w:history="1">
        <w:r w:rsidRPr="0031254C">
          <w:rPr>
            <w:rFonts w:ascii="Calibri" w:hAnsi="Calibri" w:cs="Calibri"/>
            <w:color w:val="0000FF"/>
          </w:rPr>
          <w:t>пунктами 22</w:t>
        </w:r>
      </w:hyperlink>
      <w:r w:rsidRPr="0031254C">
        <w:rPr>
          <w:rFonts w:ascii="Calibri" w:hAnsi="Calibri" w:cs="Calibri"/>
        </w:rPr>
        <w:t xml:space="preserve">, </w:t>
      </w:r>
      <w:hyperlink r:id="rId6" w:history="1">
        <w:r w:rsidRPr="0031254C">
          <w:rPr>
            <w:rFonts w:ascii="Calibri" w:hAnsi="Calibri" w:cs="Calibri"/>
            <w:color w:val="0000FF"/>
          </w:rPr>
          <w:t>23</w:t>
        </w:r>
      </w:hyperlink>
      <w:r w:rsidRPr="0031254C">
        <w:rPr>
          <w:rFonts w:ascii="Calibri" w:hAnsi="Calibri" w:cs="Calibri"/>
        </w:rPr>
        <w:t xml:space="preserve"> Методических указаний по определению размера платы за технологическое присоединение к электрическим сетям, утвержденных приказом Федеральной службы по тарифам от 21.08.2009 N 201-э/1.</w:t>
      </w: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 w:rsidRPr="0031254C">
        <w:rPr>
          <w:rFonts w:ascii="Calibri" w:hAnsi="Calibri" w:cs="Calibri"/>
        </w:rPr>
        <w:t xml:space="preserve">2. Размер экономически обоснованной платы за технологическое присоединение </w:t>
      </w:r>
      <w:proofErr w:type="spellStart"/>
      <w:r w:rsidRPr="0031254C">
        <w:rPr>
          <w:rFonts w:ascii="Calibri" w:hAnsi="Calibri" w:cs="Calibri"/>
        </w:rPr>
        <w:t>энергопринимающих</w:t>
      </w:r>
      <w:proofErr w:type="spellEnd"/>
      <w:r w:rsidRPr="0031254C">
        <w:rPr>
          <w:rFonts w:ascii="Calibri" w:hAnsi="Calibri" w:cs="Calibri"/>
        </w:rPr>
        <w:t xml:space="preserve"> устройств максимальной мощностью, не превышающей 15 к</w:t>
      </w:r>
      <w:proofErr w:type="gramStart"/>
      <w:r w:rsidRPr="0031254C">
        <w:rPr>
          <w:rFonts w:ascii="Calibri" w:hAnsi="Calibri" w:cs="Calibri"/>
        </w:rPr>
        <w:t>Вт вкл</w:t>
      </w:r>
      <w:proofErr w:type="gramEnd"/>
      <w:r w:rsidRPr="0031254C">
        <w:rPr>
          <w:rFonts w:ascii="Calibri" w:hAnsi="Calibri" w:cs="Calibri"/>
        </w:rPr>
        <w:t xml:space="preserve">ючительно (с учетом ранее присоединенной в данной точке присоединения мощности): 6741,36 </w:t>
      </w:r>
      <w:proofErr w:type="spellStart"/>
      <w:r w:rsidRPr="0031254C">
        <w:rPr>
          <w:rFonts w:ascii="Calibri" w:hAnsi="Calibri" w:cs="Calibri"/>
        </w:rPr>
        <w:t>руб</w:t>
      </w:r>
      <w:proofErr w:type="spellEnd"/>
      <w:r w:rsidRPr="0031254C">
        <w:rPr>
          <w:rFonts w:ascii="Calibri" w:hAnsi="Calibri" w:cs="Calibri"/>
        </w:rPr>
        <w:t>/кВт.</w:t>
      </w: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 w:rsidRPr="0031254C">
        <w:rPr>
          <w:rFonts w:ascii="Calibri" w:hAnsi="Calibri" w:cs="Calibri"/>
        </w:rPr>
        <w:t xml:space="preserve">3. </w:t>
      </w:r>
      <w:proofErr w:type="gramStart"/>
      <w:r w:rsidRPr="0031254C">
        <w:rPr>
          <w:rFonts w:ascii="Calibri" w:hAnsi="Calibri" w:cs="Calibri"/>
        </w:rPr>
        <w:t xml:space="preserve">Для заявителей - субъектов малого и среднего предпринимательства при присоединении </w:t>
      </w:r>
      <w:proofErr w:type="spellStart"/>
      <w:r w:rsidRPr="0031254C">
        <w:rPr>
          <w:rFonts w:ascii="Calibri" w:hAnsi="Calibri" w:cs="Calibri"/>
        </w:rPr>
        <w:t>энергопринимающих</w:t>
      </w:r>
      <w:proofErr w:type="spellEnd"/>
      <w:r w:rsidRPr="0031254C">
        <w:rPr>
          <w:rFonts w:ascii="Calibri" w:hAnsi="Calibri" w:cs="Calibri"/>
        </w:rPr>
        <w:t xml:space="preserve"> устройств максимальной мощностью свыше 15 кВт и до 100 кВт включительно (с учетом ранее присоединенной в данной точке присоединения мощности) оплата технологического присоединения может осуществляться с рассрочкой на срок до 3-х лет с даты фактического присоединения в порядке, предусмотренном </w:t>
      </w:r>
      <w:hyperlink r:id="rId7" w:history="1">
        <w:r w:rsidRPr="0031254C">
          <w:rPr>
            <w:rFonts w:ascii="Calibri" w:hAnsi="Calibri" w:cs="Calibri"/>
            <w:color w:val="0000FF"/>
          </w:rPr>
          <w:t>пунктом 71</w:t>
        </w:r>
      </w:hyperlink>
      <w:r w:rsidRPr="0031254C">
        <w:rPr>
          <w:rFonts w:ascii="Calibri" w:hAnsi="Calibri" w:cs="Calibri"/>
        </w:rPr>
        <w:t xml:space="preserve"> Основ ценообразования в отношении электрической и тепловой энергии в</w:t>
      </w:r>
      <w:proofErr w:type="gramEnd"/>
      <w:r w:rsidRPr="0031254C">
        <w:rPr>
          <w:rFonts w:ascii="Calibri" w:hAnsi="Calibri" w:cs="Calibri"/>
        </w:rPr>
        <w:t xml:space="preserve"> Российской Федерации, утвержденных постановлением Правительства РФ от 26.02.2004 N 109.</w:t>
      </w: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 w:rsidRPr="0031254C">
        <w:rPr>
          <w:rFonts w:ascii="Calibri" w:hAnsi="Calibri" w:cs="Calibri"/>
        </w:rPr>
        <w:t xml:space="preserve">4. </w:t>
      </w:r>
      <w:proofErr w:type="gramStart"/>
      <w:r w:rsidRPr="0031254C">
        <w:rPr>
          <w:rFonts w:ascii="Calibri" w:hAnsi="Calibri" w:cs="Calibri"/>
        </w:rPr>
        <w:t xml:space="preserve">Для заявителей - юридических лиц или индивидуальных предпринимателей при технологическом присоединении по одному источнику электроснабжения </w:t>
      </w:r>
      <w:proofErr w:type="spellStart"/>
      <w:r w:rsidRPr="0031254C">
        <w:rPr>
          <w:rFonts w:ascii="Calibri" w:hAnsi="Calibri" w:cs="Calibri"/>
        </w:rPr>
        <w:t>энергопринимающих</w:t>
      </w:r>
      <w:proofErr w:type="spellEnd"/>
      <w:r w:rsidRPr="0031254C">
        <w:rPr>
          <w:rFonts w:ascii="Calibri" w:hAnsi="Calibri" w:cs="Calibri"/>
        </w:rPr>
        <w:t xml:space="preserve"> устройств, максимальная мощность которых составляет свыше 15 до 100 кВт включительно (с учетом ранее присоединенной в данной точке присоединения мощности), оплата технологического присоединения может осуществляться с беспроцентной рассрочкой платежа на период до 3-х лет с даты подписания сторонами акта об осуществлении технологического присоединения, в порядке</w:t>
      </w:r>
      <w:proofErr w:type="gramEnd"/>
      <w:r w:rsidRPr="0031254C">
        <w:rPr>
          <w:rFonts w:ascii="Calibri" w:hAnsi="Calibri" w:cs="Calibri"/>
        </w:rPr>
        <w:t xml:space="preserve">, </w:t>
      </w:r>
      <w:proofErr w:type="gramStart"/>
      <w:r w:rsidRPr="0031254C">
        <w:rPr>
          <w:rFonts w:ascii="Calibri" w:hAnsi="Calibri" w:cs="Calibri"/>
        </w:rPr>
        <w:t>предусмотренном</w:t>
      </w:r>
      <w:proofErr w:type="gramEnd"/>
      <w:r w:rsidRPr="0031254C">
        <w:rPr>
          <w:rFonts w:ascii="Calibri" w:hAnsi="Calibri" w:cs="Calibri"/>
        </w:rPr>
        <w:t xml:space="preserve"> </w:t>
      </w:r>
      <w:hyperlink r:id="rId8" w:history="1">
        <w:r w:rsidRPr="0031254C">
          <w:rPr>
            <w:rFonts w:ascii="Calibri" w:hAnsi="Calibri" w:cs="Calibri"/>
            <w:color w:val="0000FF"/>
          </w:rPr>
          <w:t>пунктом 17</w:t>
        </w:r>
      </w:hyperlink>
      <w:r w:rsidRPr="0031254C">
        <w:rPr>
          <w:rFonts w:ascii="Calibri" w:hAnsi="Calibri" w:cs="Calibri"/>
        </w:rPr>
        <w:t xml:space="preserve"> Правил технологического присоединения </w:t>
      </w:r>
      <w:proofErr w:type="spellStart"/>
      <w:r w:rsidRPr="0031254C">
        <w:rPr>
          <w:rFonts w:ascii="Calibri" w:hAnsi="Calibri" w:cs="Calibri"/>
        </w:rPr>
        <w:t>энергопринимающих</w:t>
      </w:r>
      <w:proofErr w:type="spellEnd"/>
      <w:r w:rsidRPr="0031254C">
        <w:rPr>
          <w:rFonts w:ascii="Calibri" w:hAnsi="Calibri" w:cs="Calibri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31254C">
        <w:rPr>
          <w:rFonts w:ascii="Calibri" w:hAnsi="Calibri" w:cs="Calibri"/>
        </w:rPr>
        <w:t>электросетевого</w:t>
      </w:r>
      <w:proofErr w:type="spellEnd"/>
      <w:r w:rsidRPr="0031254C">
        <w:rPr>
          <w:rFonts w:ascii="Calibri" w:hAnsi="Calibri" w:cs="Calibri"/>
        </w:rPr>
        <w:t xml:space="preserve"> хозяйства, принадлежащих сетевым организациям и иным лицам, к электрическим сетям, утвержденных постановлением Правительства РФ от 27.12.2004 N 861.</w:t>
      </w: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</w:p>
    <w:p w:rsidR="00B20B98" w:rsidRPr="0031254C" w:rsidRDefault="00B20B98" w:rsidP="00B20B9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31254C">
        <w:rPr>
          <w:rFonts w:ascii="Calibri" w:hAnsi="Calibri" w:cs="Calibri"/>
          <w:i/>
          <w:iCs/>
        </w:rPr>
        <w:t>(Приказ Минэкономики Ульяновской обл. от 15.02.2010 N 06-12 (ред. от 21.06.2010) "Об утверждении размера платы за технологическое присоединение к электрическим сетям Открытого акционерного общества "Ульяновская сетевая компания")</w:t>
      </w:r>
    </w:p>
    <w:p w:rsidR="00B20B98" w:rsidRDefault="00B20B98" w:rsidP="00B20B98">
      <w:pPr>
        <w:autoSpaceDE w:val="0"/>
        <w:autoSpaceDN w:val="0"/>
        <w:adjustRightInd w:val="0"/>
        <w:rPr>
          <w:rFonts w:ascii="Calibri" w:hAnsi="Calibri" w:cs="Calibri"/>
        </w:rPr>
      </w:pPr>
    </w:p>
    <w:p w:rsidR="00B20B98" w:rsidRDefault="00B20B98" w:rsidP="00B20B98">
      <w:pPr>
        <w:spacing w:line="288" w:lineRule="auto"/>
        <w:jc w:val="center"/>
        <w:rPr>
          <w:rFonts w:ascii="Calibri" w:hAnsi="Calibri"/>
          <w:b/>
          <w:bCs/>
          <w:sz w:val="28"/>
          <w:szCs w:val="28"/>
          <w:u w:val="single"/>
        </w:rPr>
      </w:pPr>
    </w:p>
    <w:p w:rsidR="007D540D" w:rsidRPr="00B20B98" w:rsidRDefault="007D540D" w:rsidP="00B20B98"/>
    <w:sectPr w:rsidR="007D540D" w:rsidRPr="00B2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20B98"/>
    <w:rsid w:val="007D540D"/>
    <w:rsid w:val="00B2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0B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399;fld=134;dst=1004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567;fld=134;dst=1002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92684;fld=134;dst=100093" TargetMode="External"/><Relationship Id="rId5" Type="http://schemas.openxmlformats.org/officeDocument/2006/relationships/hyperlink" Target="consultantplus://offline/main?base=LAW;n=92684;fld=134;dst=100092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RLAW076;n=16700;fld=134;dst=1000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4304</Characters>
  <Application>Microsoft Office Word</Application>
  <DocSecurity>0</DocSecurity>
  <Lines>35</Lines>
  <Paragraphs>10</Paragraphs>
  <ScaleCrop>false</ScaleCrop>
  <Company>USK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stelmah_ne</dc:creator>
  <cp:keywords/>
  <dc:description/>
  <cp:lastModifiedBy>stelmah_ne</cp:lastModifiedBy>
  <cp:revision>2</cp:revision>
  <dcterms:created xsi:type="dcterms:W3CDTF">2011-04-18T06:02:00Z</dcterms:created>
  <dcterms:modified xsi:type="dcterms:W3CDTF">2011-04-18T06:02:00Z</dcterms:modified>
</cp:coreProperties>
</file>