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88" w:rsidRDefault="00001688" w:rsidP="005C55FD">
      <w:pPr>
        <w:spacing w:line="240" w:lineRule="exact"/>
        <w:ind w:left="142"/>
        <w:jc w:val="center"/>
        <w:rPr>
          <w:b/>
          <w:sz w:val="28"/>
          <w:szCs w:val="28"/>
          <w:u w:val="single"/>
        </w:rPr>
      </w:pPr>
      <w:r w:rsidRPr="003E7A5E">
        <w:rPr>
          <w:b/>
          <w:sz w:val="28"/>
          <w:szCs w:val="28"/>
          <w:u w:val="single"/>
        </w:rPr>
        <w:t xml:space="preserve">Пояснительная записка </w:t>
      </w:r>
    </w:p>
    <w:p w:rsidR="00543194" w:rsidRPr="003E7A5E" w:rsidRDefault="00543194" w:rsidP="005C55FD">
      <w:pPr>
        <w:spacing w:line="240" w:lineRule="exact"/>
        <w:ind w:left="142"/>
        <w:jc w:val="center"/>
        <w:rPr>
          <w:b/>
          <w:sz w:val="28"/>
          <w:szCs w:val="28"/>
          <w:u w:val="single"/>
        </w:rPr>
      </w:pPr>
    </w:p>
    <w:p w:rsidR="00001688" w:rsidRPr="003E7A5E" w:rsidRDefault="00001688" w:rsidP="005C55FD">
      <w:pPr>
        <w:spacing w:line="240" w:lineRule="exact"/>
        <w:ind w:left="142"/>
        <w:jc w:val="center"/>
        <w:rPr>
          <w:b/>
          <w:sz w:val="28"/>
          <w:szCs w:val="28"/>
          <w:u w:val="single"/>
        </w:rPr>
      </w:pPr>
      <w:r w:rsidRPr="003E7A5E">
        <w:rPr>
          <w:b/>
          <w:sz w:val="28"/>
          <w:szCs w:val="28"/>
          <w:u w:val="single"/>
        </w:rPr>
        <w:t xml:space="preserve"> к Инвестиционной программе </w:t>
      </w:r>
      <w:r w:rsidR="00695777" w:rsidRPr="003E7A5E">
        <w:rPr>
          <w:b/>
          <w:sz w:val="28"/>
          <w:szCs w:val="28"/>
          <w:u w:val="single"/>
        </w:rPr>
        <w:t xml:space="preserve">АО «УСК» </w:t>
      </w:r>
      <w:r w:rsidRPr="003E7A5E">
        <w:rPr>
          <w:b/>
          <w:sz w:val="28"/>
          <w:szCs w:val="28"/>
          <w:u w:val="single"/>
        </w:rPr>
        <w:t>на 2015-2021 годы</w:t>
      </w:r>
    </w:p>
    <w:p w:rsidR="00001688" w:rsidRPr="003E7A5E" w:rsidRDefault="00001688" w:rsidP="00001688">
      <w:pPr>
        <w:spacing w:line="240" w:lineRule="exact"/>
        <w:ind w:firstLine="709"/>
        <w:jc w:val="center"/>
      </w:pPr>
    </w:p>
    <w:p w:rsidR="00001688" w:rsidRPr="003E7A5E" w:rsidRDefault="00001688" w:rsidP="00001688">
      <w:pPr>
        <w:spacing w:line="240" w:lineRule="exact"/>
        <w:ind w:firstLine="709"/>
        <w:jc w:val="center"/>
      </w:pPr>
      <w:r w:rsidRPr="003E7A5E">
        <w:t xml:space="preserve"> </w:t>
      </w:r>
    </w:p>
    <w:tbl>
      <w:tblPr>
        <w:tblW w:w="0" w:type="auto"/>
        <w:tblLook w:val="04A0"/>
      </w:tblPr>
      <w:tblGrid>
        <w:gridCol w:w="2064"/>
        <w:gridCol w:w="7507"/>
      </w:tblGrid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 xml:space="preserve">Наименование </w:t>
            </w:r>
            <w:proofErr w:type="spellStart"/>
            <w:r w:rsidRPr="003E7A5E">
              <w:rPr>
                <w:rFonts w:eastAsiaTheme="minorHAnsi"/>
                <w:color w:val="595959" w:themeColor="text1" w:themeTint="A6"/>
              </w:rPr>
              <w:t>организациий</w:t>
            </w:r>
            <w:proofErr w:type="spellEnd"/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ind w:firstLine="33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 xml:space="preserve">Акционерное общество  «Ульяновская сетевая компания» </w:t>
            </w:r>
          </w:p>
          <w:p w:rsidR="00001688" w:rsidRPr="003E7A5E" w:rsidRDefault="00001688" w:rsidP="00FE189B">
            <w:pPr>
              <w:spacing w:line="240" w:lineRule="exact"/>
              <w:ind w:firstLine="33"/>
              <w:jc w:val="both"/>
              <w:rPr>
                <w:rFonts w:eastAsiaTheme="minorHAnsi"/>
              </w:rPr>
            </w:pP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>Наименование программы</w:t>
            </w: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rPr>
                <w:rFonts w:eastAsiaTheme="minorHAnsi"/>
              </w:rPr>
            </w:pPr>
          </w:p>
          <w:p w:rsidR="00001688" w:rsidRPr="003E7A5E" w:rsidRDefault="00001688" w:rsidP="00FE189B">
            <w:pPr>
              <w:spacing w:line="240" w:lineRule="exact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>«Развитие электрических сетей АО «Ульяновская сетевая компания» на территории муниципальных образований Ульяновской области на 2015-2021 годы»</w:t>
            </w: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 xml:space="preserve">Основание разработки программы </w:t>
            </w: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rPr>
                <w:rFonts w:eastAsiaTheme="minorHAnsi"/>
              </w:rPr>
            </w:pPr>
          </w:p>
          <w:p w:rsidR="00AA7CBB" w:rsidRPr="003E7A5E" w:rsidRDefault="00AA7CBB" w:rsidP="00FE189B">
            <w:pPr>
              <w:spacing w:line="240" w:lineRule="exact"/>
              <w:rPr>
                <w:rFonts w:eastAsiaTheme="minorHAnsi"/>
              </w:rPr>
            </w:pPr>
          </w:p>
          <w:p w:rsidR="00001688" w:rsidRPr="003E7A5E" w:rsidRDefault="00001688" w:rsidP="00402645">
            <w:pPr>
              <w:spacing w:line="240" w:lineRule="exact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>Программа разработана в соответствии с требованиями Федеральн</w:t>
            </w:r>
            <w:r w:rsidR="00402645" w:rsidRPr="003E7A5E">
              <w:rPr>
                <w:rFonts w:eastAsiaTheme="minorHAnsi"/>
              </w:rPr>
              <w:t>ого</w:t>
            </w:r>
            <w:r w:rsidRPr="003E7A5E">
              <w:rPr>
                <w:rFonts w:eastAsiaTheme="minorHAnsi"/>
              </w:rPr>
              <w:t xml:space="preserve"> закон</w:t>
            </w:r>
            <w:r w:rsidR="00402645" w:rsidRPr="003E7A5E">
              <w:rPr>
                <w:rFonts w:eastAsiaTheme="minorHAnsi"/>
              </w:rPr>
              <w:t>а</w:t>
            </w:r>
            <w:r w:rsidRPr="003E7A5E">
              <w:rPr>
                <w:rFonts w:eastAsiaTheme="minorHAnsi"/>
              </w:rPr>
              <w:t xml:space="preserve"> от 26.03.2003г. № 35-ФЗ  «Об электроэнергетике», Федеральн</w:t>
            </w:r>
            <w:r w:rsidR="00402645" w:rsidRPr="003E7A5E">
              <w:rPr>
                <w:rFonts w:eastAsiaTheme="minorHAnsi"/>
              </w:rPr>
              <w:t xml:space="preserve">ого </w:t>
            </w:r>
            <w:r w:rsidRPr="003E7A5E">
              <w:rPr>
                <w:rFonts w:eastAsiaTheme="minorHAnsi"/>
              </w:rPr>
              <w:t>закон</w:t>
            </w:r>
            <w:r w:rsidR="00402645" w:rsidRPr="003E7A5E">
              <w:rPr>
                <w:rFonts w:eastAsiaTheme="minorHAnsi"/>
              </w:rPr>
              <w:t>а</w:t>
            </w:r>
            <w:r w:rsidRPr="003E7A5E">
              <w:rPr>
                <w:rFonts w:eastAsiaTheme="minorHAnsi"/>
              </w:rPr>
              <w:t xml:space="preserve"> от 14.04.1995г.  № 41-ФЗ « О государственном регулировании тарифов на электрическую и тепловую энергию в РФ», Постановлени</w:t>
            </w:r>
            <w:r w:rsidR="00402645" w:rsidRPr="003E7A5E">
              <w:rPr>
                <w:rFonts w:eastAsiaTheme="minorHAnsi"/>
              </w:rPr>
              <w:t>я</w:t>
            </w:r>
            <w:r w:rsidRPr="003E7A5E">
              <w:rPr>
                <w:rFonts w:eastAsiaTheme="minorHAnsi"/>
              </w:rPr>
              <w:t xml:space="preserve"> </w:t>
            </w:r>
            <w:r w:rsidR="00402645" w:rsidRPr="003E7A5E">
              <w:rPr>
                <w:rFonts w:eastAsiaTheme="minorHAnsi"/>
              </w:rPr>
              <w:t>П</w:t>
            </w:r>
            <w:r w:rsidRPr="003E7A5E">
              <w:rPr>
                <w:rFonts w:eastAsiaTheme="minorHAnsi"/>
              </w:rPr>
              <w:t>равительства РФ от 01.12.2009г. № 977 «Об инвестиционных программах субъектов электроэнергетики».</w:t>
            </w: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>Цель инвестиционной программы</w:t>
            </w: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 xml:space="preserve">Программа направлена на обеспечение качества </w:t>
            </w:r>
            <w:r w:rsidR="00402645" w:rsidRPr="003E7A5E">
              <w:rPr>
                <w:rFonts w:eastAsiaTheme="minorHAnsi"/>
              </w:rPr>
              <w:t xml:space="preserve">и надежности </w:t>
            </w:r>
            <w:r w:rsidRPr="003E7A5E">
              <w:rPr>
                <w:rFonts w:eastAsiaTheme="minorHAnsi"/>
              </w:rPr>
              <w:t>предоста</w:t>
            </w:r>
            <w:r w:rsidR="00402645" w:rsidRPr="003E7A5E">
              <w:rPr>
                <w:rFonts w:eastAsiaTheme="minorHAnsi"/>
              </w:rPr>
              <w:t>вления услуг по передаче электрической энергии</w:t>
            </w:r>
            <w:r w:rsidRPr="003E7A5E">
              <w:rPr>
                <w:rFonts w:eastAsiaTheme="minorHAnsi"/>
              </w:rPr>
              <w:t xml:space="preserve"> потребителям, </w:t>
            </w:r>
            <w:r w:rsidR="00402645" w:rsidRPr="003E7A5E">
              <w:rPr>
                <w:rFonts w:eastAsiaTheme="minorHAnsi"/>
              </w:rPr>
              <w:t xml:space="preserve">работоспособности объектов </w:t>
            </w:r>
            <w:proofErr w:type="spellStart"/>
            <w:r w:rsidR="00402645" w:rsidRPr="003E7A5E">
              <w:rPr>
                <w:rFonts w:eastAsiaTheme="minorHAnsi"/>
              </w:rPr>
              <w:t>электросетевого</w:t>
            </w:r>
            <w:proofErr w:type="spellEnd"/>
            <w:r w:rsidR="00402645" w:rsidRPr="003E7A5E">
              <w:rPr>
                <w:rFonts w:eastAsiaTheme="minorHAnsi"/>
              </w:rPr>
              <w:t xml:space="preserve"> хозяйства, снижение степени износа объектов основных средств.</w:t>
            </w: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>Срок начала</w:t>
            </w: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 xml:space="preserve"> и окончания реализации инвестиционной программы</w:t>
            </w: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  <w:color w:val="FF0000"/>
              </w:rPr>
            </w:pP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>01.01.2015г. – 31.12.2021г.</w:t>
            </w: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>Характеристика программных мероприятий</w:t>
            </w:r>
          </w:p>
        </w:tc>
        <w:tc>
          <w:tcPr>
            <w:tcW w:w="8042" w:type="dxa"/>
          </w:tcPr>
          <w:p w:rsidR="00AA7CBB" w:rsidRPr="003E7A5E" w:rsidRDefault="00AA7CBB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>Программа включает в себя:</w:t>
            </w: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>- мероприятия по строительству и реконструкции оборудования, используемого для передачи электрической энергии;</w:t>
            </w: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 xml:space="preserve">- мероприятия по </w:t>
            </w:r>
            <w:r w:rsidR="00402645" w:rsidRPr="003E7A5E">
              <w:rPr>
                <w:rFonts w:eastAsiaTheme="minorHAnsi"/>
              </w:rPr>
              <w:t>внедрению</w:t>
            </w:r>
            <w:r w:rsidRPr="003E7A5E">
              <w:rPr>
                <w:rFonts w:eastAsiaTheme="minorHAnsi"/>
              </w:rPr>
              <w:t xml:space="preserve"> системы учета электрической энергии;</w:t>
            </w:r>
          </w:p>
          <w:p w:rsidR="00001688" w:rsidRPr="003E7A5E" w:rsidRDefault="00001688" w:rsidP="00402645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 xml:space="preserve">- </w:t>
            </w:r>
            <w:r w:rsidR="00402645" w:rsidRPr="003E7A5E">
              <w:rPr>
                <w:rFonts w:eastAsiaTheme="minorHAnsi"/>
              </w:rPr>
              <w:t>п</w:t>
            </w:r>
            <w:r w:rsidRPr="003E7A5E">
              <w:rPr>
                <w:rFonts w:eastAsiaTheme="minorHAnsi"/>
              </w:rPr>
              <w:t xml:space="preserve">риобретение спецтехники и автотранспорта для обеспечения своевременного </w:t>
            </w:r>
            <w:r w:rsidR="00402645" w:rsidRPr="003E7A5E">
              <w:rPr>
                <w:rFonts w:eastAsiaTheme="minorHAnsi"/>
              </w:rPr>
              <w:t xml:space="preserve">и качественного </w:t>
            </w:r>
            <w:r w:rsidRPr="003E7A5E">
              <w:rPr>
                <w:rFonts w:eastAsiaTheme="minorHAnsi"/>
              </w:rPr>
              <w:t>производства работ.</w:t>
            </w: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  <w:color w:val="FF0000"/>
              </w:rPr>
            </w:pP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proofErr w:type="gramStart"/>
            <w:r w:rsidRPr="003E7A5E">
              <w:rPr>
                <w:rFonts w:eastAsiaTheme="minorHAnsi"/>
                <w:color w:val="595959" w:themeColor="text1" w:themeTint="A6"/>
              </w:rPr>
              <w:t>Об</w:t>
            </w:r>
            <w:r w:rsidRPr="003E7A5E">
              <w:rPr>
                <w:rFonts w:eastAsiaTheme="minorHAnsi"/>
                <w:vanish/>
                <w:color w:val="595959" w:themeColor="text1" w:themeTint="A6"/>
              </w:rPr>
              <w:t>бюъёмы и источники финансированиявоевременного производства работергией с необходимыми параметрами качества энергоносителей.обо</w:t>
            </w:r>
            <w:r w:rsidRPr="003E7A5E">
              <w:rPr>
                <w:rFonts w:eastAsiaTheme="minorHAnsi"/>
                <w:color w:val="595959" w:themeColor="text1" w:themeTint="A6"/>
              </w:rPr>
              <w:t>ъёмы</w:t>
            </w:r>
            <w:proofErr w:type="gramEnd"/>
            <w:r w:rsidRPr="003E7A5E">
              <w:rPr>
                <w:rFonts w:eastAsiaTheme="minorHAnsi"/>
                <w:color w:val="595959" w:themeColor="text1" w:themeTint="A6"/>
              </w:rPr>
              <w:t xml:space="preserve"> и источники инвестиционных средств</w:t>
            </w: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>Источником финансирования программы является амортизация и прибыль на капитальные вложения, учитываем</w:t>
            </w:r>
            <w:r w:rsidR="00D73048" w:rsidRPr="003E7A5E">
              <w:rPr>
                <w:rFonts w:eastAsiaTheme="minorHAnsi"/>
              </w:rPr>
              <w:t>ые</w:t>
            </w:r>
            <w:r w:rsidRPr="003E7A5E">
              <w:rPr>
                <w:rFonts w:eastAsiaTheme="minorHAnsi"/>
              </w:rPr>
              <w:t xml:space="preserve"> в тарифе </w:t>
            </w:r>
            <w:r w:rsidR="00402645" w:rsidRPr="003E7A5E">
              <w:rPr>
                <w:rFonts w:eastAsiaTheme="minorHAnsi"/>
              </w:rPr>
              <w:t>н</w:t>
            </w:r>
            <w:r w:rsidR="00D73048" w:rsidRPr="003E7A5E">
              <w:rPr>
                <w:rFonts w:eastAsiaTheme="minorHAnsi"/>
              </w:rPr>
              <w:t xml:space="preserve">а услуги </w:t>
            </w:r>
            <w:r w:rsidR="00402645" w:rsidRPr="003E7A5E">
              <w:rPr>
                <w:rFonts w:eastAsiaTheme="minorHAnsi"/>
              </w:rPr>
              <w:t>по передаче электрической энергии</w:t>
            </w:r>
            <w:r w:rsidRPr="003E7A5E">
              <w:rPr>
                <w:rFonts w:eastAsiaTheme="minorHAnsi"/>
              </w:rPr>
              <w:t>:</w:t>
            </w: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C04DBD" w:rsidRPr="003E7A5E" w:rsidRDefault="00C04DBD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001688" w:rsidRPr="003E7A5E" w:rsidRDefault="00001688" w:rsidP="00FE189B">
            <w:pPr>
              <w:spacing w:line="240" w:lineRule="exact"/>
              <w:jc w:val="right"/>
              <w:rPr>
                <w:rFonts w:eastAsiaTheme="minorHAnsi"/>
                <w:i/>
              </w:rPr>
            </w:pPr>
            <w:r w:rsidRPr="003E7A5E">
              <w:rPr>
                <w:rFonts w:eastAsiaTheme="minorHAnsi"/>
                <w:i/>
              </w:rPr>
              <w:t>млн</w:t>
            </w:r>
            <w:proofErr w:type="gramStart"/>
            <w:r w:rsidRPr="003E7A5E">
              <w:rPr>
                <w:rFonts w:eastAsiaTheme="minorHAnsi"/>
                <w:i/>
              </w:rPr>
              <w:t>.р</w:t>
            </w:r>
            <w:proofErr w:type="gramEnd"/>
            <w:r w:rsidRPr="003E7A5E">
              <w:rPr>
                <w:rFonts w:eastAsiaTheme="minorHAnsi"/>
                <w:i/>
              </w:rPr>
              <w:t>уб.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0"/>
              <w:gridCol w:w="904"/>
              <w:gridCol w:w="903"/>
              <w:gridCol w:w="903"/>
              <w:gridCol w:w="903"/>
              <w:gridCol w:w="916"/>
              <w:gridCol w:w="916"/>
              <w:gridCol w:w="916"/>
            </w:tblGrid>
            <w:tr w:rsidR="00001688" w:rsidRPr="003E7A5E" w:rsidTr="005C55FD">
              <w:trPr>
                <w:jc w:val="center"/>
              </w:trPr>
              <w:tc>
                <w:tcPr>
                  <w:tcW w:w="984" w:type="dxa"/>
                  <w:vMerge w:val="restart"/>
                  <w:vAlign w:val="center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Всего:</w:t>
                  </w:r>
                </w:p>
              </w:tc>
              <w:tc>
                <w:tcPr>
                  <w:tcW w:w="6832" w:type="dxa"/>
                  <w:gridSpan w:val="7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в том числе по годам:</w:t>
                  </w:r>
                </w:p>
              </w:tc>
            </w:tr>
            <w:tr w:rsidR="00001688" w:rsidRPr="003E7A5E" w:rsidTr="005C55FD">
              <w:trPr>
                <w:jc w:val="center"/>
              </w:trPr>
              <w:tc>
                <w:tcPr>
                  <w:tcW w:w="984" w:type="dxa"/>
                  <w:vMerge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975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2015г.</w:t>
                  </w:r>
                </w:p>
              </w:tc>
              <w:tc>
                <w:tcPr>
                  <w:tcW w:w="975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2016г.</w:t>
                  </w:r>
                </w:p>
              </w:tc>
              <w:tc>
                <w:tcPr>
                  <w:tcW w:w="975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2017г.</w:t>
                  </w:r>
                </w:p>
              </w:tc>
              <w:tc>
                <w:tcPr>
                  <w:tcW w:w="976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2018г.</w:t>
                  </w:r>
                </w:p>
              </w:tc>
              <w:tc>
                <w:tcPr>
                  <w:tcW w:w="977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2019г.</w:t>
                  </w:r>
                </w:p>
              </w:tc>
              <w:tc>
                <w:tcPr>
                  <w:tcW w:w="977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2020г.</w:t>
                  </w:r>
                </w:p>
              </w:tc>
              <w:tc>
                <w:tcPr>
                  <w:tcW w:w="977" w:type="dxa"/>
                </w:tcPr>
                <w:p w:rsidR="00001688" w:rsidRPr="003E7A5E" w:rsidRDefault="00001688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3E7A5E">
                    <w:rPr>
                      <w:rFonts w:eastAsiaTheme="minorHAnsi"/>
                    </w:rPr>
                    <w:t>2021г.</w:t>
                  </w:r>
                </w:p>
              </w:tc>
            </w:tr>
            <w:tr w:rsidR="00E37D8A" w:rsidRPr="003E7A5E" w:rsidTr="005C55FD">
              <w:trPr>
                <w:jc w:val="center"/>
              </w:trPr>
              <w:tc>
                <w:tcPr>
                  <w:tcW w:w="984" w:type="dxa"/>
                </w:tcPr>
                <w:p w:rsidR="00402645" w:rsidRPr="00EC1A8C" w:rsidRDefault="00402645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</w:p>
                <w:p w:rsidR="00C04DBD" w:rsidRPr="00EC1A8C" w:rsidRDefault="001F0FBB" w:rsidP="00C04DB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721,78</w:t>
                  </w:r>
                </w:p>
                <w:p w:rsidR="00E37D8A" w:rsidRPr="00EC1A8C" w:rsidRDefault="00E37D8A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975" w:type="dxa"/>
                  <w:vAlign w:val="center"/>
                </w:tcPr>
                <w:p w:rsidR="00E37D8A" w:rsidRPr="00EC1A8C" w:rsidRDefault="00E37D8A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EC1A8C">
                    <w:rPr>
                      <w:rFonts w:eastAsiaTheme="minorHAnsi"/>
                    </w:rPr>
                    <w:t>31,83</w:t>
                  </w:r>
                </w:p>
              </w:tc>
              <w:tc>
                <w:tcPr>
                  <w:tcW w:w="975" w:type="dxa"/>
                  <w:vAlign w:val="center"/>
                </w:tcPr>
                <w:p w:rsidR="00E37D8A" w:rsidRPr="00EC1A8C" w:rsidRDefault="00C04DBD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EC1A8C">
                    <w:rPr>
                      <w:rFonts w:eastAsiaTheme="minorHAnsi"/>
                    </w:rPr>
                    <w:t>22,35</w:t>
                  </w:r>
                </w:p>
              </w:tc>
              <w:tc>
                <w:tcPr>
                  <w:tcW w:w="975" w:type="dxa"/>
                  <w:vAlign w:val="center"/>
                </w:tcPr>
                <w:p w:rsidR="00E37D8A" w:rsidRPr="006A6ADB" w:rsidRDefault="00C4315A" w:rsidP="006A6ADB">
                  <w:pPr>
                    <w:spacing w:line="240" w:lineRule="exact"/>
                    <w:jc w:val="center"/>
                    <w:rPr>
                      <w:rFonts w:eastAsiaTheme="minorHAnsi"/>
                      <w:lang w:val="en-US"/>
                    </w:rPr>
                  </w:pPr>
                  <w:r w:rsidRPr="00EC1A8C">
                    <w:rPr>
                      <w:rFonts w:eastAsiaTheme="minorHAnsi"/>
                    </w:rPr>
                    <w:t>36,</w:t>
                  </w:r>
                  <w:r w:rsidR="006A6ADB">
                    <w:rPr>
                      <w:rFonts w:eastAsiaTheme="minorHAnsi"/>
                      <w:lang w:val="en-US"/>
                    </w:rPr>
                    <w:t>81</w:t>
                  </w:r>
                </w:p>
              </w:tc>
              <w:tc>
                <w:tcPr>
                  <w:tcW w:w="976" w:type="dxa"/>
                  <w:vAlign w:val="center"/>
                </w:tcPr>
                <w:p w:rsidR="00E37D8A" w:rsidRPr="006A6ADB" w:rsidRDefault="009C2033" w:rsidP="006A6ADB">
                  <w:pPr>
                    <w:spacing w:line="240" w:lineRule="exact"/>
                    <w:jc w:val="center"/>
                    <w:rPr>
                      <w:rFonts w:eastAsiaTheme="minorHAnsi"/>
                      <w:lang w:val="en-US"/>
                    </w:rPr>
                  </w:pPr>
                  <w:r>
                    <w:rPr>
                      <w:rFonts w:eastAsiaTheme="minorHAnsi"/>
                      <w:lang w:val="en-US"/>
                    </w:rPr>
                    <w:t>42,7</w:t>
                  </w:r>
                  <w:r w:rsidR="006A6ADB">
                    <w:rPr>
                      <w:rFonts w:eastAsiaTheme="minorHAnsi"/>
                      <w:lang w:val="en-US"/>
                    </w:rPr>
                    <w:t>8</w:t>
                  </w:r>
                </w:p>
              </w:tc>
              <w:tc>
                <w:tcPr>
                  <w:tcW w:w="977" w:type="dxa"/>
                  <w:vAlign w:val="center"/>
                </w:tcPr>
                <w:p w:rsidR="00E37D8A" w:rsidRPr="00EC1A8C" w:rsidRDefault="00EC1A8C" w:rsidP="005C55FD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EC1A8C">
                    <w:rPr>
                      <w:rFonts w:eastAsiaTheme="minorHAnsi"/>
                    </w:rPr>
                    <w:t>150,32</w:t>
                  </w:r>
                </w:p>
              </w:tc>
              <w:tc>
                <w:tcPr>
                  <w:tcW w:w="977" w:type="dxa"/>
                  <w:vAlign w:val="center"/>
                </w:tcPr>
                <w:p w:rsidR="00E37D8A" w:rsidRPr="00EC1A8C" w:rsidRDefault="00C4315A" w:rsidP="00EC1A8C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EC1A8C">
                    <w:rPr>
                      <w:rFonts w:eastAsiaTheme="minorHAnsi"/>
                    </w:rPr>
                    <w:t>168,</w:t>
                  </w:r>
                  <w:r w:rsidR="00EC1A8C" w:rsidRPr="00EC1A8C">
                    <w:rPr>
                      <w:rFonts w:eastAsiaTheme="minorHAnsi"/>
                    </w:rPr>
                    <w:t>14</w:t>
                  </w:r>
                </w:p>
              </w:tc>
              <w:tc>
                <w:tcPr>
                  <w:tcW w:w="977" w:type="dxa"/>
                  <w:vAlign w:val="center"/>
                </w:tcPr>
                <w:p w:rsidR="00E37D8A" w:rsidRPr="00EC1A8C" w:rsidRDefault="001F0FBB" w:rsidP="000134C3">
                  <w:pPr>
                    <w:spacing w:line="240" w:lineRule="exact"/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186,55</w:t>
                  </w:r>
                </w:p>
              </w:tc>
            </w:tr>
          </w:tbl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  <w:tr w:rsidR="00001688" w:rsidRPr="003E7A5E" w:rsidTr="00FE189B">
        <w:tc>
          <w:tcPr>
            <w:tcW w:w="2237" w:type="dxa"/>
          </w:tcPr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001688" w:rsidRPr="003E7A5E" w:rsidRDefault="00001688" w:rsidP="00FE189B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  <w:r w:rsidRPr="003E7A5E">
              <w:rPr>
                <w:rFonts w:eastAsiaTheme="minorHAnsi"/>
                <w:color w:val="595959" w:themeColor="text1" w:themeTint="A6"/>
              </w:rPr>
              <w:t>Ожидаемые результаты реализации инвестиционной программы</w:t>
            </w:r>
          </w:p>
        </w:tc>
        <w:tc>
          <w:tcPr>
            <w:tcW w:w="8042" w:type="dxa"/>
          </w:tcPr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  <w:r w:rsidRPr="003E7A5E">
              <w:rPr>
                <w:rFonts w:eastAsiaTheme="minorHAnsi"/>
              </w:rPr>
              <w:t xml:space="preserve">В результате реализации программы </w:t>
            </w:r>
            <w:r w:rsidR="00402645" w:rsidRPr="003E7A5E">
              <w:rPr>
                <w:rFonts w:eastAsiaTheme="minorHAnsi"/>
              </w:rPr>
              <w:t>планируется</w:t>
            </w:r>
            <w:r w:rsidRPr="003E7A5E">
              <w:rPr>
                <w:rFonts w:eastAsiaTheme="minorHAnsi"/>
              </w:rPr>
              <w:t xml:space="preserve"> достичь                        улучшения технического состояния сетей и оборудования, уменьшения повреждаемости сетей и, как следствие, сокращение затрат на аварийно-восстановительные работы, сокращения потребления энергоресурсов за счет внедрения современного оборудования, бесперебойность снабжения потребителей электрической энергией с необходимыми параметрами качества </w:t>
            </w:r>
            <w:r w:rsidR="00402645" w:rsidRPr="003E7A5E">
              <w:rPr>
                <w:rFonts w:eastAsiaTheme="minorHAnsi"/>
              </w:rPr>
              <w:t>электрической энергии</w:t>
            </w:r>
            <w:r w:rsidRPr="003E7A5E">
              <w:rPr>
                <w:rFonts w:eastAsiaTheme="minorHAnsi"/>
              </w:rPr>
              <w:t>.</w:t>
            </w: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001688" w:rsidRPr="003E7A5E" w:rsidRDefault="00001688" w:rsidP="00FE189B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</w:tbl>
    <w:p w:rsidR="00001688" w:rsidRPr="003E7A5E" w:rsidRDefault="00001688" w:rsidP="00001688">
      <w:pPr>
        <w:spacing w:line="240" w:lineRule="exact"/>
        <w:ind w:firstLine="709"/>
        <w:jc w:val="center"/>
      </w:pPr>
    </w:p>
    <w:p w:rsidR="00FB5CF2" w:rsidRDefault="00FB5CF2" w:rsidP="00FB5CF2">
      <w:pPr>
        <w:ind w:firstLine="709"/>
        <w:contextualSpacing/>
        <w:jc w:val="center"/>
        <w:rPr>
          <w:b/>
          <w:sz w:val="28"/>
          <w:szCs w:val="28"/>
          <w:u w:val="single"/>
        </w:rPr>
      </w:pPr>
    </w:p>
    <w:p w:rsidR="00972DA5" w:rsidRDefault="00972DA5" w:rsidP="00FB5CF2">
      <w:pPr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FB5CF2">
        <w:rPr>
          <w:b/>
          <w:sz w:val="28"/>
          <w:szCs w:val="28"/>
          <w:u w:val="single"/>
        </w:rPr>
        <w:t>Корректировки инвестиционной программы АО «УСК»</w:t>
      </w:r>
    </w:p>
    <w:p w:rsidR="00FB5CF2" w:rsidRPr="00FB5CF2" w:rsidRDefault="00FB5CF2" w:rsidP="00FB5CF2">
      <w:pPr>
        <w:ind w:firstLine="709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2018 году</w:t>
      </w:r>
    </w:p>
    <w:p w:rsidR="00972DA5" w:rsidRPr="00FB5CF2" w:rsidRDefault="00972DA5" w:rsidP="00FB5CF2">
      <w:pPr>
        <w:ind w:firstLine="709"/>
        <w:contextualSpacing/>
        <w:jc w:val="center"/>
        <w:rPr>
          <w:b/>
          <w:u w:val="single"/>
        </w:rPr>
      </w:pPr>
    </w:p>
    <w:p w:rsidR="00FB5CF2" w:rsidRDefault="00FB5CF2" w:rsidP="00972DA5">
      <w:pPr>
        <w:ind w:firstLine="709"/>
        <w:contextualSpacing/>
        <w:jc w:val="both"/>
      </w:pPr>
    </w:p>
    <w:p w:rsidR="00972DA5" w:rsidRPr="00972DA5" w:rsidRDefault="00972DA5" w:rsidP="00972DA5">
      <w:pPr>
        <w:ind w:firstLine="709"/>
        <w:contextualSpacing/>
        <w:jc w:val="both"/>
      </w:pPr>
      <w:r w:rsidRPr="00972DA5">
        <w:t>Необходимость корректировки инвестиционной программы АО «УСК» на 2015-2021 гг. обусловлена следующими факторами:</w:t>
      </w:r>
    </w:p>
    <w:p w:rsidR="00972DA5" w:rsidRPr="00972DA5" w:rsidRDefault="00972DA5" w:rsidP="00972DA5">
      <w:pPr>
        <w:ind w:firstLine="709"/>
        <w:contextualSpacing/>
        <w:jc w:val="both"/>
      </w:pPr>
    </w:p>
    <w:p w:rsidR="00972DA5" w:rsidRPr="00972DA5" w:rsidRDefault="00972DA5" w:rsidP="00972DA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</w:pPr>
      <w:r w:rsidRPr="00972DA5">
        <w:t>Фактическим осуществлением планов развития АО «УСК» в 2017г.;</w:t>
      </w:r>
    </w:p>
    <w:p w:rsidR="00972DA5" w:rsidRPr="00972DA5" w:rsidRDefault="00972DA5" w:rsidP="00972DA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</w:pPr>
      <w:r w:rsidRPr="00972DA5">
        <w:t>Техническим состоянием электрических сетей, с учётом значимости объектов электроснабжения, с учетом прогнозов по выручке от передачи электроэнергии, а также проведения мероприятий по снижению производственных издержек, в том числе за счет повышения эффективности работы оборудования, развития системы учета передаваемой электрической энергии;</w:t>
      </w:r>
    </w:p>
    <w:p w:rsidR="00972DA5" w:rsidRPr="00972DA5" w:rsidRDefault="00972DA5" w:rsidP="00972DA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</w:pPr>
      <w:r w:rsidRPr="00972DA5">
        <w:t xml:space="preserve">Необходимостью обновления машинного парка специальной техники для реализации инвестиционных проектов и нового строительства </w:t>
      </w:r>
      <w:proofErr w:type="spellStart"/>
      <w:r w:rsidRPr="00972DA5">
        <w:t>электросетевых</w:t>
      </w:r>
      <w:proofErr w:type="spellEnd"/>
      <w:r w:rsidRPr="00972DA5">
        <w:t xml:space="preserve"> объектов в рамках технологического присоединения потребителей к электрическим сетям;</w:t>
      </w:r>
    </w:p>
    <w:p w:rsidR="00972DA5" w:rsidRPr="00972DA5" w:rsidRDefault="00972DA5" w:rsidP="00972DA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</w:pPr>
      <w:r w:rsidRPr="00972DA5">
        <w:t xml:space="preserve">Необходимостью проведения реконструкции </w:t>
      </w:r>
      <w:proofErr w:type="spellStart"/>
      <w:r w:rsidRPr="00972DA5">
        <w:t>электросетевого</w:t>
      </w:r>
      <w:proofErr w:type="spellEnd"/>
      <w:r w:rsidRPr="00972DA5">
        <w:t xml:space="preserve"> хозяйства, направленной на приведение качества электрической энергии, поставляемой потребителям в соответствие с техническими регламентами и государственными стандартами.</w:t>
      </w:r>
    </w:p>
    <w:p w:rsidR="00972DA5" w:rsidRDefault="00972DA5" w:rsidP="00972DA5">
      <w:pPr>
        <w:tabs>
          <w:tab w:val="left" w:pos="993"/>
        </w:tabs>
        <w:ind w:firstLine="992"/>
        <w:contextualSpacing/>
        <w:jc w:val="both"/>
      </w:pPr>
      <w:r w:rsidRPr="00972DA5">
        <w:t>Корректировка инвестиционной программы АО «УСК» произведена в пределах доступных источников финансирования, сформированных при разработке первоначального проекта инвестиционной программы.</w:t>
      </w:r>
    </w:p>
    <w:p w:rsidR="00972DA5" w:rsidRDefault="00972DA5" w:rsidP="00972DA5">
      <w:pPr>
        <w:tabs>
          <w:tab w:val="left" w:pos="993"/>
        </w:tabs>
        <w:ind w:firstLine="992"/>
        <w:contextualSpacing/>
        <w:jc w:val="both"/>
      </w:pPr>
    </w:p>
    <w:p w:rsidR="00972DA5" w:rsidRPr="00972DA5" w:rsidRDefault="00972DA5" w:rsidP="00972DA5">
      <w:pPr>
        <w:tabs>
          <w:tab w:val="left" w:pos="993"/>
        </w:tabs>
        <w:ind w:firstLine="709"/>
        <w:contextualSpacing/>
        <w:jc w:val="both"/>
      </w:pPr>
      <w:r w:rsidRPr="00972DA5">
        <w:t xml:space="preserve">Решения, принятые при разработке инвестиционной программы, соответствуют целям и задачам Стратегии развития </w:t>
      </w:r>
      <w:proofErr w:type="spellStart"/>
      <w:r w:rsidRPr="00972DA5">
        <w:t>электросетевого</w:t>
      </w:r>
      <w:proofErr w:type="spellEnd"/>
      <w:r w:rsidRPr="00972DA5">
        <w:t xml:space="preserve"> комплекса Российской Федерации на период до 2030 г. (распоряжение правительства РФ от 03.04.2013 г. № 511-р), Плана мероприятий («Дорожной карты») «Повышения доступности энергетической инфраструктуры» (в редакции распоряжения Правительства РФ от 09.08.2013 г. № 1400-р) и требованиями действующего законодательства.</w:t>
      </w:r>
    </w:p>
    <w:p w:rsidR="00FB5CF2" w:rsidRDefault="00FB5CF2" w:rsidP="00972DA5">
      <w:pPr>
        <w:ind w:firstLine="709"/>
        <w:contextualSpacing/>
        <w:jc w:val="both"/>
      </w:pPr>
    </w:p>
    <w:p w:rsidR="00972DA5" w:rsidRPr="00972DA5" w:rsidRDefault="00972DA5" w:rsidP="00972DA5">
      <w:pPr>
        <w:ind w:firstLine="709"/>
        <w:contextualSpacing/>
        <w:jc w:val="both"/>
      </w:pPr>
      <w:r w:rsidRPr="00972DA5">
        <w:t>В рамках реализации инвестиционной программы предусматривается решение следующих задач: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Поддержание в эксплуатационной готовности оборудования, необходимого для надежного, бесперебойного и качественного энергоснабжения потребителей;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Проведение мероприятий по снижению производственных издержек, в том числе за счет повышения эффективности работы оборудования, развития системы учета передаваемой электрической энергии;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Выполнение работ по реконструкции линейных объектов, с физическим износом более 80%;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Модернизация основных фондов;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 xml:space="preserve">Проведение реконструкций </w:t>
      </w:r>
      <w:proofErr w:type="spellStart"/>
      <w:r w:rsidRPr="00972DA5">
        <w:t>электросетевого</w:t>
      </w:r>
      <w:proofErr w:type="spellEnd"/>
      <w:r w:rsidRPr="00972DA5">
        <w:t xml:space="preserve"> хозяйства для приведения качества электрической энергии, поставляемой гражданам, в соответствии с требованиями действующих технических регламентов и государственных стандартов;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Обновление машинного парка специальной техники;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Обеспечение безопасности работы оборудования и персонала;</w:t>
      </w:r>
    </w:p>
    <w:p w:rsidR="00972DA5" w:rsidRPr="00972DA5" w:rsidRDefault="00972DA5" w:rsidP="00972DA5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972DA5">
        <w:t>Обеспечение пропускной способности электрических сетей для устойчивого функционирования электроэнергетики и обеспечения выполнения мероприятий в рамках технологического присоединения потребителей с учетом актуализации прогнозируемого спроса на поставку мощности, технологических нагрузок в среднесрочной перспективе;</w:t>
      </w:r>
    </w:p>
    <w:p w:rsidR="00972DA5" w:rsidRPr="00972DA5" w:rsidRDefault="00972DA5" w:rsidP="00972DA5">
      <w:pPr>
        <w:tabs>
          <w:tab w:val="left" w:pos="993"/>
        </w:tabs>
        <w:ind w:firstLine="992"/>
        <w:contextualSpacing/>
        <w:jc w:val="both"/>
      </w:pPr>
    </w:p>
    <w:p w:rsidR="00972DA5" w:rsidRPr="00972DA5" w:rsidRDefault="00972DA5" w:rsidP="00972DA5">
      <w:pPr>
        <w:autoSpaceDE w:val="0"/>
        <w:autoSpaceDN w:val="0"/>
        <w:adjustRightInd w:val="0"/>
        <w:spacing w:line="240" w:lineRule="atLeast"/>
        <w:ind w:firstLine="1066"/>
        <w:jc w:val="both"/>
        <w:rPr>
          <w:color w:val="000000" w:themeColor="text1"/>
        </w:rPr>
      </w:pPr>
      <w:r w:rsidRPr="00972DA5">
        <w:rPr>
          <w:color w:val="000000" w:themeColor="text1"/>
        </w:rPr>
        <w:t xml:space="preserve">На 2018 год объекты инвестиционной программы скорректированы исходя из источника финансирования в виде амортизации, утвержденной в составе необходимой </w:t>
      </w:r>
      <w:r w:rsidRPr="00972DA5">
        <w:rPr>
          <w:color w:val="000000" w:themeColor="text1"/>
        </w:rPr>
        <w:lastRenderedPageBreak/>
        <w:t xml:space="preserve">валовой выручки Общества на очередной регулируемый период, а также по результатам проведенных конкурсных процедур по объектам утвержденной инвестиционной программы. </w:t>
      </w:r>
    </w:p>
    <w:p w:rsidR="00972DA5" w:rsidRPr="00972DA5" w:rsidRDefault="00972DA5" w:rsidP="00C62982">
      <w:pPr>
        <w:autoSpaceDE w:val="0"/>
        <w:autoSpaceDN w:val="0"/>
        <w:adjustRightInd w:val="0"/>
        <w:spacing w:line="240" w:lineRule="atLeast"/>
        <w:ind w:left="357" w:firstLine="352"/>
        <w:jc w:val="both"/>
        <w:rPr>
          <w:color w:val="000000" w:themeColor="text1"/>
        </w:rPr>
      </w:pPr>
      <w:r w:rsidRPr="00972DA5">
        <w:rPr>
          <w:color w:val="000000" w:themeColor="text1"/>
        </w:rPr>
        <w:t xml:space="preserve">Объем капитальных вложений </w:t>
      </w:r>
      <w:r w:rsidR="00FB5CF2">
        <w:rPr>
          <w:color w:val="000000" w:themeColor="text1"/>
        </w:rPr>
        <w:t xml:space="preserve">в 2018 году </w:t>
      </w:r>
      <w:r w:rsidRPr="00972DA5">
        <w:rPr>
          <w:color w:val="000000" w:themeColor="text1"/>
        </w:rPr>
        <w:t>составит -42,778млн</w:t>
      </w:r>
      <w:proofErr w:type="gramStart"/>
      <w:r w:rsidRPr="00972DA5">
        <w:rPr>
          <w:color w:val="000000" w:themeColor="text1"/>
        </w:rPr>
        <w:t>.р</w:t>
      </w:r>
      <w:proofErr w:type="gramEnd"/>
      <w:r w:rsidRPr="00972DA5">
        <w:rPr>
          <w:color w:val="000000" w:themeColor="text1"/>
        </w:rPr>
        <w:t>уб.(без НДС).</w:t>
      </w:r>
    </w:p>
    <w:p w:rsidR="00972DA5" w:rsidRPr="00972DA5" w:rsidRDefault="00972DA5" w:rsidP="00001688">
      <w:pPr>
        <w:autoSpaceDE w:val="0"/>
        <w:autoSpaceDN w:val="0"/>
        <w:adjustRightInd w:val="0"/>
        <w:spacing w:line="240" w:lineRule="atLeast"/>
        <w:ind w:left="357" w:firstLine="709"/>
        <w:jc w:val="both"/>
        <w:rPr>
          <w:color w:val="000000" w:themeColor="text1"/>
        </w:rPr>
      </w:pPr>
    </w:p>
    <w:p w:rsidR="00033F49" w:rsidRDefault="00033F49" w:rsidP="00FB5CF2">
      <w:pPr>
        <w:ind w:left="1134" w:firstLine="426"/>
        <w:contextualSpacing/>
      </w:pPr>
      <w:r w:rsidRPr="00033F49">
        <w:rPr>
          <w:b/>
        </w:rPr>
        <w:t>Мероприятия инвестиционной программы в разрезе приоритетов</w:t>
      </w:r>
    </w:p>
    <w:p w:rsidR="00033F49" w:rsidRPr="00033F49" w:rsidRDefault="00033F49" w:rsidP="00FB5CF2">
      <w:pPr>
        <w:ind w:left="1560"/>
        <w:contextualSpacing/>
      </w:pPr>
    </w:p>
    <w:p w:rsidR="00033F49" w:rsidRPr="00A24220" w:rsidRDefault="00033F49" w:rsidP="00033F49">
      <w:pPr>
        <w:numPr>
          <w:ilvl w:val="0"/>
          <w:numId w:val="18"/>
        </w:numPr>
        <w:tabs>
          <w:tab w:val="left" w:pos="0"/>
          <w:tab w:val="left" w:pos="993"/>
        </w:tabs>
        <w:ind w:left="0" w:firstLine="709"/>
        <w:contextualSpacing/>
        <w:jc w:val="both"/>
      </w:pPr>
      <w:r w:rsidRPr="00A24220">
        <w:rPr>
          <w:b/>
        </w:rPr>
        <w:t>Повышение надежности электроснабжения потребителей</w:t>
      </w:r>
      <w:r w:rsidRPr="00A24220">
        <w:t>.</w:t>
      </w:r>
    </w:p>
    <w:p w:rsidR="00FB5CF2" w:rsidRDefault="00FB5CF2" w:rsidP="00FB5CF2">
      <w:pPr>
        <w:tabs>
          <w:tab w:val="left" w:pos="0"/>
          <w:tab w:val="left" w:pos="993"/>
        </w:tabs>
        <w:ind w:left="709"/>
        <w:contextualSpacing/>
        <w:jc w:val="both"/>
      </w:pPr>
    </w:p>
    <w:p w:rsidR="00033F49" w:rsidRPr="00033F49" w:rsidRDefault="00033F49" w:rsidP="00033F49">
      <w:pPr>
        <w:tabs>
          <w:tab w:val="left" w:pos="1134"/>
        </w:tabs>
        <w:ind w:firstLine="709"/>
        <w:contextualSpacing/>
        <w:jc w:val="both"/>
      </w:pPr>
      <w:r w:rsidRPr="00033F49">
        <w:t>Ключевым показателем эффективности деятельности Общества является надежная работа энергосистемы, направленная на исключение аварийных ситуаций, в том числе техногенного характера и предотвращения экологических рисков, связанных с последствием аварийных ситуаций. А также реализация, в том числе следующих задач:</w:t>
      </w:r>
    </w:p>
    <w:p w:rsidR="00033F49" w:rsidRPr="00033F49" w:rsidRDefault="00033F49" w:rsidP="00033F49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 w:rsidRPr="00033F49">
        <w:t>Проведение мероприятий по снижению производственных издержек, в том числе за счет повышения эффективности работы оборудования и развития систем учета передаваемой и потребляемой электрической электроэнергии;</w:t>
      </w:r>
    </w:p>
    <w:p w:rsidR="00033F49" w:rsidRPr="00033F49" w:rsidRDefault="00033F49" w:rsidP="00033F49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 w:rsidRPr="00033F49">
        <w:t>Модернизация основных фондов;</w:t>
      </w:r>
    </w:p>
    <w:p w:rsidR="00033F49" w:rsidRPr="00033F49" w:rsidRDefault="00033F49" w:rsidP="00033F49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 w:rsidRPr="00033F49">
        <w:t>Обновление машинного парка специальной техники;</w:t>
      </w:r>
    </w:p>
    <w:p w:rsidR="00033F49" w:rsidRPr="00033F49" w:rsidRDefault="00033F49" w:rsidP="00033F49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 w:rsidRPr="00033F49">
        <w:t>Обеспечение пропускной способности электрических сетей для устойчивого функционирования электроэнергетики и обеспечения присоединения потребителей с учетом актуализации прогнозируемого спроса на поставку мощности, технологических нагрузок в среднесрочной перспективе;</w:t>
      </w:r>
    </w:p>
    <w:p w:rsidR="00033F49" w:rsidRDefault="00033F49" w:rsidP="00033F49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</w:pPr>
      <w:r w:rsidRPr="00033F49">
        <w:t>Приведение качества электрической энергии, поставляемой гражданам, в соответствии с требованиями действующих технических регламент</w:t>
      </w:r>
      <w:r>
        <w:t>ов и государственных стандартов.</w:t>
      </w:r>
    </w:p>
    <w:p w:rsidR="00033F49" w:rsidRDefault="00033F49" w:rsidP="00033F49">
      <w:pPr>
        <w:tabs>
          <w:tab w:val="left" w:pos="0"/>
          <w:tab w:val="left" w:pos="993"/>
        </w:tabs>
        <w:ind w:left="709"/>
        <w:contextualSpacing/>
        <w:jc w:val="both"/>
        <w:rPr>
          <w:b/>
          <w:i/>
        </w:rPr>
      </w:pPr>
    </w:p>
    <w:p w:rsidR="00FB5CF2" w:rsidRPr="00A24220" w:rsidRDefault="00033F49" w:rsidP="00FB5CF2">
      <w:pPr>
        <w:pStyle w:val="a4"/>
        <w:numPr>
          <w:ilvl w:val="0"/>
          <w:numId w:val="19"/>
        </w:numPr>
        <w:tabs>
          <w:tab w:val="left" w:pos="0"/>
          <w:tab w:val="left" w:pos="993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B5CF2">
        <w:rPr>
          <w:rFonts w:ascii="Times New Roman" w:hAnsi="Times New Roman"/>
          <w:b/>
          <w:i/>
          <w:color w:val="auto"/>
          <w:sz w:val="24"/>
          <w:szCs w:val="24"/>
        </w:rPr>
        <w:t xml:space="preserve">2. </w:t>
      </w:r>
      <w:proofErr w:type="spellStart"/>
      <w:r w:rsidRPr="00A24220">
        <w:rPr>
          <w:rFonts w:ascii="Times New Roman" w:hAnsi="Times New Roman"/>
          <w:b/>
          <w:color w:val="auto"/>
          <w:sz w:val="24"/>
          <w:szCs w:val="24"/>
        </w:rPr>
        <w:t>Краткое</w:t>
      </w:r>
      <w:proofErr w:type="spellEnd"/>
      <w:r w:rsidRPr="00A242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A24220">
        <w:rPr>
          <w:rFonts w:ascii="Times New Roman" w:hAnsi="Times New Roman"/>
          <w:b/>
          <w:color w:val="auto"/>
          <w:sz w:val="24"/>
          <w:szCs w:val="24"/>
        </w:rPr>
        <w:t>описание</w:t>
      </w:r>
      <w:proofErr w:type="spellEnd"/>
      <w:r w:rsidRPr="00A242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A24220">
        <w:rPr>
          <w:rFonts w:ascii="Times New Roman" w:hAnsi="Times New Roman"/>
          <w:b/>
          <w:color w:val="auto"/>
          <w:sz w:val="24"/>
          <w:szCs w:val="24"/>
        </w:rPr>
        <w:t>планируемых</w:t>
      </w:r>
      <w:proofErr w:type="spellEnd"/>
      <w:r w:rsidRPr="00A24220">
        <w:rPr>
          <w:rFonts w:ascii="Times New Roman" w:hAnsi="Times New Roman"/>
          <w:b/>
          <w:color w:val="auto"/>
          <w:sz w:val="24"/>
          <w:szCs w:val="24"/>
        </w:rPr>
        <w:t xml:space="preserve"> к </w:t>
      </w:r>
      <w:proofErr w:type="spellStart"/>
      <w:r w:rsidRPr="00A24220">
        <w:rPr>
          <w:rFonts w:ascii="Times New Roman" w:hAnsi="Times New Roman"/>
          <w:b/>
          <w:color w:val="auto"/>
          <w:sz w:val="24"/>
          <w:szCs w:val="24"/>
        </w:rPr>
        <w:t>реализации</w:t>
      </w:r>
      <w:proofErr w:type="spellEnd"/>
    </w:p>
    <w:p w:rsidR="00033F49" w:rsidRDefault="00033F49" w:rsidP="007565C7">
      <w:pPr>
        <w:pStyle w:val="a4"/>
        <w:tabs>
          <w:tab w:val="left" w:pos="0"/>
          <w:tab w:val="left" w:pos="993"/>
        </w:tabs>
        <w:ind w:left="1429"/>
        <w:jc w:val="both"/>
        <w:rPr>
          <w:b/>
          <w:i/>
        </w:rPr>
      </w:pPr>
      <w:r w:rsidRPr="00A242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proofErr w:type="gramStart"/>
      <w:r w:rsidRPr="00A24220">
        <w:rPr>
          <w:rFonts w:ascii="Times New Roman" w:hAnsi="Times New Roman"/>
          <w:b/>
          <w:color w:val="auto"/>
          <w:sz w:val="24"/>
          <w:szCs w:val="24"/>
        </w:rPr>
        <w:t>инвестиционных</w:t>
      </w:r>
      <w:proofErr w:type="spellEnd"/>
      <w:proofErr w:type="gramEnd"/>
      <w:r w:rsidRPr="00A2422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A24220">
        <w:rPr>
          <w:rFonts w:ascii="Times New Roman" w:hAnsi="Times New Roman"/>
          <w:b/>
          <w:color w:val="auto"/>
          <w:sz w:val="24"/>
          <w:szCs w:val="24"/>
        </w:rPr>
        <w:t>проектов</w:t>
      </w:r>
      <w:proofErr w:type="spellEnd"/>
      <w:r w:rsidRPr="00A24220">
        <w:rPr>
          <w:rFonts w:ascii="Times New Roman" w:hAnsi="Times New Roman"/>
          <w:b/>
          <w:color w:val="auto"/>
          <w:sz w:val="24"/>
          <w:szCs w:val="24"/>
        </w:rPr>
        <w:t>:</w:t>
      </w:r>
    </w:p>
    <w:tbl>
      <w:tblPr>
        <w:tblW w:w="11441" w:type="dxa"/>
        <w:tblLook w:val="04A0"/>
      </w:tblPr>
      <w:tblGrid>
        <w:gridCol w:w="4077"/>
        <w:gridCol w:w="7364"/>
      </w:tblGrid>
      <w:tr w:rsidR="00FB5CF2" w:rsidRPr="003E7A5E" w:rsidTr="00A24220">
        <w:tc>
          <w:tcPr>
            <w:tcW w:w="4077" w:type="dxa"/>
          </w:tcPr>
          <w:p w:rsidR="00FB5CF2" w:rsidRPr="003E7A5E" w:rsidRDefault="00FB5CF2" w:rsidP="00A24220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A24220" w:rsidRDefault="00FB5CF2" w:rsidP="00A24220">
            <w:pPr>
              <w:spacing w:line="240" w:lineRule="exact"/>
              <w:rPr>
                <w:rFonts w:eastAsiaTheme="minorHAnsi"/>
                <w:color w:val="595959" w:themeColor="text1" w:themeTint="A6"/>
              </w:rPr>
            </w:pPr>
            <w:r w:rsidRPr="00A24220">
              <w:rPr>
                <w:rFonts w:eastAsiaTheme="minorHAnsi"/>
                <w:color w:val="595959" w:themeColor="text1" w:themeTint="A6"/>
              </w:rPr>
              <w:t>Раздел</w:t>
            </w:r>
            <w:r w:rsidR="00A24220" w:rsidRPr="00A24220">
              <w:rPr>
                <w:rFonts w:eastAsiaTheme="minorHAnsi"/>
                <w:color w:val="595959" w:themeColor="text1" w:themeTint="A6"/>
              </w:rPr>
              <w:t>ы</w:t>
            </w:r>
            <w:r w:rsidRPr="00A24220">
              <w:rPr>
                <w:rFonts w:eastAsiaTheme="minorHAnsi"/>
                <w:color w:val="595959" w:themeColor="text1" w:themeTint="A6"/>
              </w:rPr>
              <w:t xml:space="preserve"> ИП:</w:t>
            </w:r>
            <w:r>
              <w:rPr>
                <w:rFonts w:eastAsiaTheme="minorHAnsi"/>
                <w:color w:val="595959" w:themeColor="text1" w:themeTint="A6"/>
              </w:rPr>
              <w:t xml:space="preserve"> </w:t>
            </w:r>
          </w:p>
          <w:p w:rsidR="00A24220" w:rsidRPr="00A24220" w:rsidRDefault="00A24220" w:rsidP="00A24220">
            <w:pPr>
              <w:spacing w:line="240" w:lineRule="exact"/>
              <w:rPr>
                <w:rFonts w:eastAsiaTheme="minorHAnsi"/>
                <w:b/>
              </w:rPr>
            </w:pPr>
            <w:r w:rsidRPr="00A24220">
              <w:rPr>
                <w:rFonts w:eastAsiaTheme="minorHAnsi"/>
                <w:b/>
              </w:rPr>
              <w:t>«</w:t>
            </w:r>
            <w:r w:rsidR="00FB5CF2" w:rsidRPr="00A24220">
              <w:rPr>
                <w:rFonts w:eastAsiaTheme="minorHAnsi"/>
                <w:b/>
              </w:rPr>
              <w:t>Техническое перевооружение</w:t>
            </w:r>
            <w:r w:rsidRPr="00A24220">
              <w:rPr>
                <w:rFonts w:eastAsiaTheme="minorHAnsi"/>
                <w:b/>
              </w:rPr>
              <w:t xml:space="preserve">             </w:t>
            </w:r>
            <w:r w:rsidR="00FB5CF2" w:rsidRPr="00A24220">
              <w:rPr>
                <w:rFonts w:eastAsiaTheme="minorHAnsi"/>
                <w:b/>
              </w:rPr>
              <w:t xml:space="preserve"> </w:t>
            </w:r>
            <w:r w:rsidRPr="00A24220">
              <w:rPr>
                <w:rFonts w:eastAsiaTheme="minorHAnsi"/>
                <w:b/>
              </w:rPr>
              <w:t>и</w:t>
            </w:r>
            <w:r w:rsidR="00FB5CF2" w:rsidRPr="00A24220">
              <w:rPr>
                <w:rFonts w:eastAsiaTheme="minorHAnsi"/>
                <w:b/>
              </w:rPr>
              <w:t xml:space="preserve"> реконструкция сетей</w:t>
            </w:r>
            <w:proofErr w:type="gramStart"/>
            <w:r w:rsidRPr="00A24220">
              <w:rPr>
                <w:rFonts w:eastAsiaTheme="minorHAnsi"/>
                <w:b/>
              </w:rPr>
              <w:t xml:space="preserve"> ;</w:t>
            </w:r>
            <w:proofErr w:type="gramEnd"/>
          </w:p>
          <w:p w:rsidR="00FB5CF2" w:rsidRPr="003E7A5E" w:rsidRDefault="00A24220" w:rsidP="00A24220">
            <w:pPr>
              <w:spacing w:line="240" w:lineRule="exact"/>
              <w:rPr>
                <w:rFonts w:eastAsiaTheme="minorHAnsi"/>
                <w:color w:val="595959" w:themeColor="text1" w:themeTint="A6"/>
              </w:rPr>
            </w:pPr>
            <w:r w:rsidRPr="00A24220">
              <w:rPr>
                <w:rFonts w:eastAsiaTheme="minorHAnsi"/>
                <w:b/>
              </w:rPr>
              <w:t>Новое строительство»</w:t>
            </w:r>
          </w:p>
        </w:tc>
        <w:tc>
          <w:tcPr>
            <w:tcW w:w="7364" w:type="dxa"/>
          </w:tcPr>
          <w:p w:rsidR="00FB5CF2" w:rsidRPr="003E7A5E" w:rsidRDefault="00FB5CF2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FB5CF2" w:rsidRPr="003E7A5E" w:rsidRDefault="00FB5CF2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FB5CF2" w:rsidRPr="003E7A5E" w:rsidRDefault="00FB5CF2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FB5CF2" w:rsidRPr="003E7A5E" w:rsidRDefault="00FB5CF2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FB5CF2" w:rsidRPr="003E7A5E" w:rsidRDefault="00FB5CF2" w:rsidP="00A24220">
            <w:pPr>
              <w:spacing w:line="240" w:lineRule="exact"/>
              <w:ind w:left="344" w:hanging="344"/>
              <w:jc w:val="both"/>
              <w:rPr>
                <w:rFonts w:eastAsiaTheme="minorHAnsi"/>
              </w:rPr>
            </w:pPr>
          </w:p>
          <w:p w:rsidR="00FB5CF2" w:rsidRPr="003E7A5E" w:rsidRDefault="00FB5CF2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FB5CF2" w:rsidRPr="003E7A5E" w:rsidRDefault="00FB5CF2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</w:tbl>
    <w:p w:rsidR="00702E3C" w:rsidRDefault="00001688" w:rsidP="00001688">
      <w:pPr>
        <w:autoSpaceDE w:val="0"/>
        <w:autoSpaceDN w:val="0"/>
        <w:adjustRightInd w:val="0"/>
        <w:spacing w:line="240" w:lineRule="atLeast"/>
        <w:ind w:left="357" w:firstLine="709"/>
        <w:jc w:val="both"/>
      </w:pPr>
      <w:proofErr w:type="gramStart"/>
      <w:r w:rsidRPr="003E7A5E">
        <w:t xml:space="preserve">Мероприятия по реконструкции и строительству электрических сетей и иного энергетического оборудования, предусмотренные данной инвестиционной программой, разработаны в соответствии с требованиями по обеспечению надежного энергоснабжения потребителей, преимущественную долю которых составляет население Ульяновской области, с целью улучшения </w:t>
      </w:r>
      <w:r w:rsidR="00B575F2" w:rsidRPr="003E7A5E">
        <w:t>технико-экономических показателей</w:t>
      </w:r>
      <w:r w:rsidRPr="003E7A5E">
        <w:t xml:space="preserve"> сетей, замены </w:t>
      </w:r>
      <w:r w:rsidR="00B575F2" w:rsidRPr="003E7A5E">
        <w:t>изношенного</w:t>
      </w:r>
      <w:r w:rsidRPr="003E7A5E">
        <w:t xml:space="preserve"> оборудования новым, а также перераспределения нагрузок, связанных с большой протяженностью сетей 0,4 кВ</w:t>
      </w:r>
      <w:r w:rsidR="00B575F2" w:rsidRPr="003E7A5E">
        <w:t>.</w:t>
      </w:r>
      <w:proofErr w:type="gramEnd"/>
    </w:p>
    <w:p w:rsidR="00F64305" w:rsidRPr="003E7A5E" w:rsidRDefault="00F64305" w:rsidP="00001688">
      <w:pPr>
        <w:autoSpaceDE w:val="0"/>
        <w:autoSpaceDN w:val="0"/>
        <w:adjustRightInd w:val="0"/>
        <w:spacing w:line="240" w:lineRule="atLeast"/>
        <w:ind w:left="357" w:firstLine="709"/>
        <w:jc w:val="both"/>
      </w:pPr>
      <w:r>
        <w:t xml:space="preserve">В 2018 году в рамках реконструкции ВЛ-0,4 кВ от ЗТП№13 в </w:t>
      </w:r>
      <w:r w:rsidRPr="00F64305">
        <w:t>р.п. Чердаклы</w:t>
      </w:r>
      <w:r>
        <w:t xml:space="preserve"> будут проведены демонтажные работы.</w:t>
      </w:r>
    </w:p>
    <w:p w:rsidR="00B575F2" w:rsidRPr="003E7A5E" w:rsidRDefault="00F64305" w:rsidP="00001688">
      <w:pPr>
        <w:autoSpaceDE w:val="0"/>
        <w:autoSpaceDN w:val="0"/>
        <w:adjustRightInd w:val="0"/>
        <w:spacing w:line="240" w:lineRule="atLeast"/>
        <w:ind w:left="357" w:firstLine="709"/>
        <w:jc w:val="both"/>
      </w:pPr>
      <w:r>
        <w:t>Запланировано с</w:t>
      </w:r>
      <w:r w:rsidRPr="00F64305">
        <w:t>троительство ВЛИ-0,4кВ от РУ-0,4кВ КТП №50/250кВА протяженностью L=0,950км  по адресу: Ульяновская область, Николаевский район, п. Нагорный</w:t>
      </w:r>
      <w:r>
        <w:t>.</w:t>
      </w:r>
    </w:p>
    <w:p w:rsidR="003D58F5" w:rsidRDefault="00001688" w:rsidP="00543194">
      <w:pPr>
        <w:autoSpaceDE w:val="0"/>
        <w:autoSpaceDN w:val="0"/>
        <w:adjustRightInd w:val="0"/>
        <w:spacing w:line="240" w:lineRule="atLeast"/>
        <w:ind w:left="357" w:firstLine="709"/>
        <w:jc w:val="both"/>
      </w:pPr>
      <w:r w:rsidRPr="003E7A5E">
        <w:t>Стоимость данн</w:t>
      </w:r>
      <w:r w:rsidR="00F64305">
        <w:t>ого</w:t>
      </w:r>
      <w:r w:rsidRPr="003E7A5E">
        <w:t xml:space="preserve"> объект</w:t>
      </w:r>
      <w:r w:rsidR="00F64305">
        <w:t>а</w:t>
      </w:r>
      <w:r w:rsidRPr="003E7A5E">
        <w:t xml:space="preserve"> инвестиционной программы определена на основании сметных расчетов строительства 1 км линий 0,4-10 кВ, ТП 100-400 </w:t>
      </w:r>
      <w:proofErr w:type="spellStart"/>
      <w:r w:rsidRPr="003E7A5E">
        <w:t>кВА</w:t>
      </w:r>
      <w:proofErr w:type="spellEnd"/>
      <w:r w:rsidRPr="003E7A5E">
        <w:t>. Сметные расчеты составлены на основе территориальных единичных расценок в базовых ценах 2001 года с переводом в текущие цены по состоянию на 1 квартал 201</w:t>
      </w:r>
      <w:r w:rsidR="00F64305">
        <w:t>8</w:t>
      </w:r>
      <w:r w:rsidRPr="003E7A5E">
        <w:t xml:space="preserve"> года с учетом индекса инфляции в последующих периодах. </w:t>
      </w:r>
      <w:r w:rsidR="00543194">
        <w:t>Смет</w:t>
      </w:r>
      <w:r w:rsidR="00F64305">
        <w:t>а</w:t>
      </w:r>
      <w:r w:rsidR="00543194">
        <w:t xml:space="preserve"> прилага</w:t>
      </w:r>
      <w:r w:rsidR="00F64305">
        <w:t>е</w:t>
      </w:r>
      <w:r w:rsidR="00543194">
        <w:t>тся.</w:t>
      </w:r>
    </w:p>
    <w:p w:rsidR="00F64305" w:rsidRDefault="00F64305" w:rsidP="00543194">
      <w:pPr>
        <w:autoSpaceDE w:val="0"/>
        <w:autoSpaceDN w:val="0"/>
        <w:adjustRightInd w:val="0"/>
        <w:spacing w:line="240" w:lineRule="atLeast"/>
        <w:ind w:left="357" w:firstLine="709"/>
        <w:jc w:val="both"/>
        <w:rPr>
          <w:b/>
          <w:sz w:val="28"/>
          <w:szCs w:val="28"/>
          <w:u w:val="single"/>
        </w:rPr>
      </w:pPr>
      <w:r>
        <w:t>В 2018г</w:t>
      </w:r>
      <w:proofErr w:type="gramStart"/>
      <w:r>
        <w:t>.б</w:t>
      </w:r>
      <w:proofErr w:type="gramEnd"/>
      <w:r>
        <w:t>удут продолжены работы по объектам, строительство которых было начато ранее, в рамках утвержденной инвестиционной программы 2015-2021г.г.</w:t>
      </w:r>
    </w:p>
    <w:p w:rsidR="003D58F5" w:rsidRDefault="003D58F5" w:rsidP="00E047CE">
      <w:pPr>
        <w:spacing w:line="240" w:lineRule="exact"/>
        <w:ind w:left="142"/>
        <w:jc w:val="center"/>
        <w:rPr>
          <w:b/>
          <w:sz w:val="28"/>
          <w:szCs w:val="28"/>
          <w:u w:val="single"/>
        </w:rPr>
      </w:pPr>
    </w:p>
    <w:p w:rsidR="00A24220" w:rsidRPr="003E7A5E" w:rsidRDefault="00A24220" w:rsidP="00A24220">
      <w:pPr>
        <w:spacing w:line="240" w:lineRule="exact"/>
        <w:jc w:val="center"/>
        <w:rPr>
          <w:rFonts w:eastAsiaTheme="minorHAnsi"/>
          <w:color w:val="595959" w:themeColor="text1" w:themeTint="A6"/>
        </w:rPr>
      </w:pPr>
    </w:p>
    <w:tbl>
      <w:tblPr>
        <w:tblW w:w="9464" w:type="dxa"/>
        <w:tblLook w:val="04A0"/>
      </w:tblPr>
      <w:tblGrid>
        <w:gridCol w:w="4077"/>
        <w:gridCol w:w="5387"/>
      </w:tblGrid>
      <w:tr w:rsidR="00A24220" w:rsidRPr="003E7A5E" w:rsidTr="00A24220">
        <w:tc>
          <w:tcPr>
            <w:tcW w:w="4077" w:type="dxa"/>
          </w:tcPr>
          <w:p w:rsidR="00A24220" w:rsidRPr="003E7A5E" w:rsidRDefault="00A24220" w:rsidP="00A24220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A24220" w:rsidRDefault="00A24220" w:rsidP="00A24220">
            <w:pPr>
              <w:spacing w:line="240" w:lineRule="exact"/>
              <w:rPr>
                <w:rFonts w:eastAsiaTheme="minorHAnsi"/>
                <w:color w:val="595959" w:themeColor="text1" w:themeTint="A6"/>
              </w:rPr>
            </w:pPr>
            <w:r w:rsidRPr="00A24220">
              <w:rPr>
                <w:rFonts w:eastAsiaTheme="minorHAnsi"/>
                <w:color w:val="595959" w:themeColor="text1" w:themeTint="A6"/>
              </w:rPr>
              <w:t>Раздел ИП:</w:t>
            </w:r>
            <w:r>
              <w:rPr>
                <w:rFonts w:eastAsiaTheme="minorHAnsi"/>
                <w:color w:val="595959" w:themeColor="text1" w:themeTint="A6"/>
              </w:rPr>
              <w:t xml:space="preserve"> </w:t>
            </w:r>
          </w:p>
          <w:p w:rsidR="00A24220" w:rsidRPr="00A24220" w:rsidRDefault="00A24220" w:rsidP="00A24220">
            <w:pPr>
              <w:spacing w:line="240" w:lineRule="exact"/>
              <w:rPr>
                <w:rFonts w:eastAsiaTheme="minorHAnsi"/>
                <w:b/>
                <w:color w:val="595959" w:themeColor="text1" w:themeTint="A6"/>
              </w:rPr>
            </w:pPr>
            <w:r w:rsidRPr="00A24220">
              <w:rPr>
                <w:rFonts w:eastAsiaTheme="minorHAnsi"/>
                <w:b/>
              </w:rPr>
              <w:t>«Приобретение автотранспортной техники и спецтехники»</w:t>
            </w:r>
          </w:p>
        </w:tc>
        <w:tc>
          <w:tcPr>
            <w:tcW w:w="5387" w:type="dxa"/>
          </w:tcPr>
          <w:p w:rsidR="00A24220" w:rsidRPr="003E7A5E" w:rsidRDefault="00A24220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24220" w:rsidRPr="003E7A5E" w:rsidRDefault="00A24220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24220" w:rsidRPr="003E7A5E" w:rsidRDefault="00A24220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24220" w:rsidRPr="003E7A5E" w:rsidRDefault="00A24220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24220" w:rsidRPr="003E7A5E" w:rsidRDefault="00A24220" w:rsidP="00A24220">
            <w:pPr>
              <w:spacing w:line="240" w:lineRule="exact"/>
              <w:ind w:left="344" w:hanging="344"/>
              <w:jc w:val="both"/>
              <w:rPr>
                <w:rFonts w:eastAsiaTheme="minorHAnsi"/>
              </w:rPr>
            </w:pPr>
          </w:p>
          <w:p w:rsidR="00A24220" w:rsidRPr="003E7A5E" w:rsidRDefault="00A24220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24220" w:rsidRPr="003E7A5E" w:rsidRDefault="00A24220" w:rsidP="00A24220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</w:tbl>
    <w:p w:rsidR="00001688" w:rsidRPr="003E7A5E" w:rsidRDefault="00001688" w:rsidP="00001688">
      <w:pPr>
        <w:autoSpaceDE w:val="0"/>
        <w:autoSpaceDN w:val="0"/>
        <w:adjustRightInd w:val="0"/>
        <w:spacing w:line="240" w:lineRule="atLeast"/>
        <w:ind w:left="357" w:firstLine="709"/>
        <w:jc w:val="both"/>
      </w:pPr>
      <w:r w:rsidRPr="003E7A5E">
        <w:t xml:space="preserve">Расчет затрат по приобретению и распределению автотранспорта произведен с учетом необходимого количества автотранспортной техники в структурных подразделениях АО «УСК» для обеспечения своевременного производства работ. </w:t>
      </w:r>
      <w:proofErr w:type="gramStart"/>
      <w:r w:rsidRPr="003E7A5E">
        <w:t>В настоящее время в указанных ниже районных подразделениях компании отсутствует или эксплуатируется арендованная, а также устаревшая, с выработанным рес</w:t>
      </w:r>
      <w:r w:rsidR="00B575F2" w:rsidRPr="003E7A5E">
        <w:t>урсом автотранспортная и спец</w:t>
      </w:r>
      <w:r w:rsidRPr="003E7A5E">
        <w:t>техника, что влечет за собой не своевременное проведение аварийно-восстановительных и плановых работ на обслуживаемых сетевых участках, частые аварийные остановки на ремонт автотранспорта, увеличение расходов на ремонт и приобретение запасных частей, увеличение расходов на ГСМ в связи с привлечением автотранспорта</w:t>
      </w:r>
      <w:proofErr w:type="gramEnd"/>
      <w:r w:rsidRPr="003E7A5E">
        <w:t xml:space="preserve"> других участков. </w:t>
      </w:r>
    </w:p>
    <w:p w:rsidR="000D7386" w:rsidRDefault="00001688" w:rsidP="00001688">
      <w:pPr>
        <w:autoSpaceDE w:val="0"/>
        <w:autoSpaceDN w:val="0"/>
        <w:adjustRightInd w:val="0"/>
        <w:spacing w:line="240" w:lineRule="atLeast"/>
        <w:ind w:left="360"/>
        <w:jc w:val="both"/>
      </w:pPr>
      <w:r w:rsidRPr="003E7A5E">
        <w:t xml:space="preserve">          </w:t>
      </w:r>
    </w:p>
    <w:p w:rsidR="00001688" w:rsidRPr="00C62982" w:rsidRDefault="000D7386" w:rsidP="00001688">
      <w:pPr>
        <w:autoSpaceDE w:val="0"/>
        <w:autoSpaceDN w:val="0"/>
        <w:adjustRightInd w:val="0"/>
        <w:spacing w:line="240" w:lineRule="atLeast"/>
        <w:ind w:left="360"/>
        <w:jc w:val="both"/>
      </w:pPr>
      <w:r>
        <w:t xml:space="preserve">                   </w:t>
      </w:r>
      <w:r w:rsidR="00001688" w:rsidRPr="003E7A5E">
        <w:t xml:space="preserve">  Закупка планируемого количества автомобильной и специальной техники в 2015-2021г. позволит:</w:t>
      </w:r>
    </w:p>
    <w:p w:rsidR="007565C7" w:rsidRPr="00C62982" w:rsidRDefault="007565C7" w:rsidP="00001688">
      <w:pPr>
        <w:autoSpaceDE w:val="0"/>
        <w:autoSpaceDN w:val="0"/>
        <w:adjustRightInd w:val="0"/>
        <w:spacing w:line="240" w:lineRule="atLeast"/>
        <w:ind w:left="360"/>
        <w:jc w:val="both"/>
      </w:pPr>
    </w:p>
    <w:p w:rsidR="00001688" w:rsidRPr="003E7A5E" w:rsidRDefault="00001688" w:rsidP="000016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Заменить устаревший, с выработанным ресур</w:t>
      </w:r>
      <w:r w:rsidR="00B575F2" w:rsidRPr="003E7A5E">
        <w:rPr>
          <w:rFonts w:ascii="Times New Roman" w:hAnsi="Times New Roman"/>
          <w:color w:val="auto"/>
          <w:sz w:val="24"/>
          <w:szCs w:val="24"/>
          <w:lang w:val="ru-RU"/>
        </w:rPr>
        <w:t>сом автотранспорт, а так</w:t>
      </w: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же эксплуатирующийся в АО «УСК» на условиях договоров аренды.</w:t>
      </w:r>
    </w:p>
    <w:p w:rsidR="00001688" w:rsidRPr="003E7A5E" w:rsidRDefault="00001688" w:rsidP="000016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Обеспечить транспортом службы </w:t>
      </w:r>
      <w:r w:rsidR="00013117" w:rsidRPr="003E7A5E">
        <w:rPr>
          <w:rFonts w:ascii="Times New Roman" w:hAnsi="Times New Roman"/>
          <w:color w:val="auto"/>
          <w:sz w:val="24"/>
          <w:szCs w:val="24"/>
          <w:lang w:val="ru-RU"/>
        </w:rPr>
        <w:t>в соответствии с производственной необходимостью</w:t>
      </w:r>
      <w:r w:rsidR="00DC0DED" w:rsidRPr="003E7A5E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001688" w:rsidRPr="003E7A5E" w:rsidRDefault="00001688" w:rsidP="000016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Снизить расходы на ремонт автотранспорта.</w:t>
      </w:r>
    </w:p>
    <w:p w:rsidR="00001688" w:rsidRPr="003E7A5E" w:rsidRDefault="00001688" w:rsidP="0000168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Повысить эффективность работы автотранспорта компании в целом, за счет уменьшения времени простоев на ремонт.</w:t>
      </w:r>
    </w:p>
    <w:p w:rsidR="00001688" w:rsidRDefault="00001688" w:rsidP="00001688">
      <w:pPr>
        <w:pStyle w:val="a4"/>
        <w:autoSpaceDE w:val="0"/>
        <w:autoSpaceDN w:val="0"/>
        <w:adjustRightInd w:val="0"/>
        <w:spacing w:after="0" w:line="240" w:lineRule="atLeast"/>
        <w:ind w:left="1148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1688" w:rsidRPr="00C62982" w:rsidRDefault="00001688" w:rsidP="00001688">
      <w:pPr>
        <w:ind w:left="426" w:firstLine="709"/>
        <w:jc w:val="both"/>
      </w:pPr>
      <w:r w:rsidRPr="003E7A5E">
        <w:t xml:space="preserve">Приобретение </w:t>
      </w:r>
      <w:r w:rsidR="00DC0DED" w:rsidRPr="003E7A5E">
        <w:t>автотранспортной техники и спецтехники</w:t>
      </w:r>
      <w:r w:rsidRPr="003E7A5E">
        <w:t xml:space="preserve"> и распределение его по подразделениям обусловлено сроками полезного использования транспортных средств и с учетом требований техники безопасности, в том числе:</w:t>
      </w:r>
    </w:p>
    <w:p w:rsidR="00B479A8" w:rsidRPr="003E7A5E" w:rsidRDefault="00B479A8" w:rsidP="00001688">
      <w:pPr>
        <w:ind w:left="426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1805"/>
        <w:gridCol w:w="73"/>
        <w:gridCol w:w="825"/>
        <w:gridCol w:w="624"/>
        <w:gridCol w:w="676"/>
        <w:gridCol w:w="601"/>
        <w:gridCol w:w="553"/>
        <w:gridCol w:w="1005"/>
        <w:gridCol w:w="2944"/>
      </w:tblGrid>
      <w:tr w:rsidR="00B479A8" w:rsidRPr="003E7A5E" w:rsidTr="00C33E4D">
        <w:trPr>
          <w:trHeight w:val="28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B" w:rsidRDefault="007565C7" w:rsidP="001F27EB">
            <w:pPr>
              <w:autoSpaceDE w:val="0"/>
              <w:autoSpaceDN w:val="0"/>
              <w:adjustRightInd w:val="0"/>
              <w:spacing w:line="240" w:lineRule="atLeast"/>
              <w:ind w:left="6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B479A8" w:rsidRPr="003E7A5E">
              <w:rPr>
                <w:b/>
                <w:sz w:val="18"/>
                <w:szCs w:val="18"/>
              </w:rPr>
              <w:t>атраты на приобретение автотранспортной техники и</w:t>
            </w:r>
          </w:p>
          <w:p w:rsidR="001F27EB" w:rsidRPr="003E7A5E" w:rsidRDefault="00B479A8" w:rsidP="007565C7">
            <w:pPr>
              <w:autoSpaceDE w:val="0"/>
              <w:autoSpaceDN w:val="0"/>
              <w:adjustRightInd w:val="0"/>
              <w:spacing w:line="240" w:lineRule="atLeast"/>
              <w:ind w:left="644"/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 xml:space="preserve"> распределение по с</w:t>
            </w:r>
            <w:r w:rsidR="001F27EB">
              <w:rPr>
                <w:b/>
                <w:sz w:val="18"/>
                <w:szCs w:val="18"/>
              </w:rPr>
              <w:t>труктурным подразделениям в 2016</w:t>
            </w:r>
            <w:r w:rsidRPr="003E7A5E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B479A8" w:rsidRPr="003E7A5E" w:rsidTr="00C33E4D">
        <w:tblPrEx>
          <w:tblLook w:val="04A0"/>
        </w:tblPrEx>
        <w:trPr>
          <w:trHeight w:val="6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№</w:t>
            </w:r>
          </w:p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proofErr w:type="spellStart"/>
            <w:r w:rsidRPr="003E7A5E">
              <w:rPr>
                <w:sz w:val="18"/>
                <w:szCs w:val="18"/>
              </w:rPr>
              <w:t>п\</w:t>
            </w:r>
            <w:proofErr w:type="gramStart"/>
            <w:r w:rsidRPr="003E7A5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tabs>
                <w:tab w:val="left" w:pos="1755"/>
              </w:tabs>
              <w:ind w:lef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Наименование</w:t>
            </w:r>
          </w:p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Кол-во</w:t>
            </w:r>
          </w:p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единиц</w:t>
            </w:r>
          </w:p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на</w:t>
            </w:r>
          </w:p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закупку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Стоимость 1 ед.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НДС,</w:t>
            </w:r>
          </w:p>
          <w:p w:rsidR="00B479A8" w:rsidRPr="003E7A5E" w:rsidRDefault="00B479A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Сумма,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</w:t>
            </w:r>
          </w:p>
          <w:p w:rsidR="00B479A8" w:rsidRPr="003E7A5E" w:rsidRDefault="00B479A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Распределение техники</w:t>
            </w:r>
          </w:p>
        </w:tc>
      </w:tr>
      <w:tr w:rsidR="00B479A8" w:rsidRPr="003E7A5E" w:rsidTr="00C33E4D">
        <w:tblPrEx>
          <w:tblLook w:val="04A0"/>
        </w:tblPrEx>
        <w:trPr>
          <w:trHeight w:val="253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tabs>
                <w:tab w:val="left" w:pos="1755"/>
              </w:tabs>
              <w:ind w:left="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479A8" w:rsidRPr="003E7A5E" w:rsidTr="00C33E4D">
        <w:tblPrEx>
          <w:tblLook w:val="04A0"/>
        </w:tblPrEx>
        <w:trPr>
          <w:trHeight w:val="99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1</w:t>
            </w:r>
          </w:p>
          <w:p w:rsidR="00B479A8" w:rsidRPr="003E7A5E" w:rsidRDefault="00B479A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  <w:p w:rsidR="00B479A8" w:rsidRPr="003E7A5E" w:rsidRDefault="00B479A8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6F6D08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  <w:lang w:eastAsia="en-US"/>
              </w:rPr>
              <w:t>Беларус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навесным оборудованием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6F6D08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1483,26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A8" w:rsidRPr="003E7A5E" w:rsidRDefault="00BB32EE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1483,26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 Центральная база</w:t>
            </w:r>
          </w:p>
          <w:p w:rsidR="00B479A8" w:rsidRPr="003E7A5E" w:rsidRDefault="00B479A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1688" w:rsidRPr="003E7A5E" w:rsidTr="007565C7">
        <w:trPr>
          <w:trHeight w:val="2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EB" w:rsidRDefault="007565C7" w:rsidP="001F27EB">
            <w:pPr>
              <w:autoSpaceDE w:val="0"/>
              <w:autoSpaceDN w:val="0"/>
              <w:adjustRightInd w:val="0"/>
              <w:spacing w:line="240" w:lineRule="atLeast"/>
              <w:ind w:left="6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="00001688" w:rsidRPr="003E7A5E">
              <w:rPr>
                <w:b/>
                <w:sz w:val="18"/>
                <w:szCs w:val="18"/>
              </w:rPr>
              <w:t>атраты на приобретение автотранспортной техники и</w:t>
            </w:r>
          </w:p>
          <w:p w:rsidR="001F27EB" w:rsidRPr="003E7A5E" w:rsidRDefault="00001688" w:rsidP="007565C7">
            <w:pPr>
              <w:autoSpaceDE w:val="0"/>
              <w:autoSpaceDN w:val="0"/>
              <w:adjustRightInd w:val="0"/>
              <w:spacing w:line="240" w:lineRule="atLeast"/>
              <w:ind w:left="644"/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 xml:space="preserve"> распределение по структурным подразделениям в 2017 г.</w:t>
            </w:r>
          </w:p>
        </w:tc>
      </w:tr>
      <w:tr w:rsidR="00001688" w:rsidRPr="003E7A5E" w:rsidTr="00C33E4D">
        <w:tblPrEx>
          <w:tblLook w:val="04A0"/>
        </w:tblPrEx>
        <w:trPr>
          <w:trHeight w:val="6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№</w:t>
            </w:r>
          </w:p>
          <w:p w:rsidR="00001688" w:rsidRPr="003E7A5E" w:rsidRDefault="0000168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proofErr w:type="spellStart"/>
            <w:r w:rsidRPr="003E7A5E">
              <w:rPr>
                <w:sz w:val="18"/>
                <w:szCs w:val="18"/>
              </w:rPr>
              <w:t>п\</w:t>
            </w:r>
            <w:proofErr w:type="gramStart"/>
            <w:r w:rsidRPr="003E7A5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tabs>
                <w:tab w:val="left" w:pos="1755"/>
              </w:tabs>
              <w:ind w:lef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Наименование</w:t>
            </w: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Кол-во</w:t>
            </w: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единиц</w:t>
            </w: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на</w:t>
            </w: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закупку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7EB" w:rsidRDefault="0000168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Стоимость</w:t>
            </w:r>
          </w:p>
          <w:p w:rsidR="00001688" w:rsidRPr="003E7A5E" w:rsidRDefault="0000168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 1 ед.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НДС,</w:t>
            </w:r>
          </w:p>
          <w:p w:rsidR="00001688" w:rsidRPr="003E7A5E" w:rsidRDefault="0000168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1688" w:rsidRPr="003E7A5E" w:rsidRDefault="0000168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Сумма,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</w:t>
            </w:r>
          </w:p>
          <w:p w:rsidR="00001688" w:rsidRPr="003E7A5E" w:rsidRDefault="0000168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2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Распределение техники</w:t>
            </w:r>
          </w:p>
        </w:tc>
      </w:tr>
      <w:tr w:rsidR="00001688" w:rsidRPr="003E7A5E" w:rsidTr="007565C7">
        <w:tblPrEx>
          <w:tblLook w:val="04A0"/>
        </w:tblPrEx>
        <w:trPr>
          <w:trHeight w:val="207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001688" w:rsidP="002F129D">
            <w:pPr>
              <w:tabs>
                <w:tab w:val="left" w:pos="1755"/>
              </w:tabs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001688" w:rsidP="002F129D">
            <w:pPr>
              <w:tabs>
                <w:tab w:val="left" w:pos="1755"/>
              </w:tabs>
              <w:ind w:left="33"/>
              <w:rPr>
                <w:b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001688" w:rsidP="002F129D">
            <w:pPr>
              <w:tabs>
                <w:tab w:val="left" w:pos="1755"/>
              </w:tabs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8" w:rsidRPr="003E7A5E" w:rsidRDefault="00001688" w:rsidP="002F129D">
            <w:pPr>
              <w:tabs>
                <w:tab w:val="left" w:pos="1755"/>
              </w:tabs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8" w:rsidRPr="003E7A5E" w:rsidRDefault="00001688" w:rsidP="002F129D">
            <w:pPr>
              <w:tabs>
                <w:tab w:val="left" w:pos="1755"/>
              </w:tabs>
              <w:ind w:left="6"/>
              <w:rPr>
                <w:b/>
                <w:sz w:val="18"/>
                <w:szCs w:val="18"/>
              </w:rPr>
            </w:pPr>
          </w:p>
        </w:tc>
        <w:tc>
          <w:tcPr>
            <w:tcW w:w="2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001688" w:rsidP="002F129D">
            <w:pPr>
              <w:spacing w:after="200"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01688" w:rsidRPr="003E7A5E" w:rsidTr="00C33E4D">
        <w:tblPrEx>
          <w:tblLook w:val="04A0"/>
        </w:tblPrEx>
        <w:trPr>
          <w:trHeight w:val="65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4C4F4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001688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Легковой автомобиль</w:t>
            </w:r>
            <w:proofErr w:type="gramStart"/>
            <w:r w:rsidRPr="003E7A5E">
              <w:rPr>
                <w:sz w:val="18"/>
                <w:szCs w:val="18"/>
              </w:rPr>
              <w:t xml:space="preserve"> </w:t>
            </w:r>
            <w:r w:rsidR="004C4F48">
              <w:rPr>
                <w:sz w:val="18"/>
                <w:szCs w:val="18"/>
              </w:rPr>
              <w:t>С</w:t>
            </w:r>
            <w:proofErr w:type="gramEnd"/>
            <w:r w:rsidR="004C4F48">
              <w:rPr>
                <w:sz w:val="18"/>
                <w:szCs w:val="18"/>
              </w:rPr>
              <w:t xml:space="preserve"> класса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4C4F48" w:rsidP="001F27EB">
            <w:pPr>
              <w:tabs>
                <w:tab w:val="left" w:pos="17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4C4F4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4C4F4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  <w:r w:rsidR="00C35228">
              <w:rPr>
                <w:sz w:val="18"/>
                <w:szCs w:val="18"/>
              </w:rPr>
              <w:t>1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1.Центральная база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Форд, 2011 г.в.).</w:t>
            </w:r>
          </w:p>
        </w:tc>
      </w:tr>
      <w:tr w:rsidR="00001688" w:rsidRPr="003E7A5E" w:rsidTr="00C33E4D">
        <w:tblPrEx>
          <w:tblLook w:val="04A0"/>
        </w:tblPrEx>
        <w:trPr>
          <w:trHeight w:val="118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8" w:rsidRPr="003E7A5E" w:rsidRDefault="004C4F48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  <w:p w:rsidR="00001688" w:rsidRPr="003E7A5E" w:rsidRDefault="00001688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  <w:p w:rsidR="00001688" w:rsidRPr="003E7A5E" w:rsidRDefault="00001688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8" w:rsidRPr="003E7A5E" w:rsidRDefault="00001688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Грузовой фургон повышенной проходимости (УАЗ-390995)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4C4F48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88" w:rsidRPr="003E7A5E" w:rsidRDefault="00D90D83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88" w:rsidRPr="003E7A5E" w:rsidRDefault="00D90D83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 РЭС Радищевского р-на – 1ед.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№Т104АН, 1998 г.в.).</w:t>
            </w: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1688" w:rsidRPr="003E7A5E" w:rsidTr="00C33E4D">
        <w:tblPrEx>
          <w:tblLook w:val="04A0"/>
        </w:tblPrEx>
        <w:trPr>
          <w:trHeight w:val="91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8" w:rsidRPr="003E7A5E" w:rsidRDefault="004C4F4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688" w:rsidRPr="003E7A5E" w:rsidRDefault="004C4F4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  <w:lang w:eastAsia="en-US"/>
              </w:rPr>
              <w:t>Беларус</w:t>
            </w:r>
            <w:proofErr w:type="spellEnd"/>
            <w:r w:rsidR="001F27EB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 навесным оборудованием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4C4F4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88" w:rsidRPr="003E7A5E" w:rsidRDefault="00D90D83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1429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688" w:rsidRPr="003E7A5E" w:rsidRDefault="00D90D83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1429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1.РЭС </w:t>
            </w:r>
            <w:r w:rsidR="004C4F48">
              <w:rPr>
                <w:sz w:val="18"/>
                <w:szCs w:val="18"/>
                <w:lang w:eastAsia="en-US"/>
              </w:rPr>
              <w:t>Ульяновского района (Ишеевка)</w:t>
            </w:r>
          </w:p>
          <w:p w:rsidR="00001688" w:rsidRPr="003E7A5E" w:rsidRDefault="00001688" w:rsidP="001F27EB">
            <w:pPr>
              <w:pStyle w:val="a4"/>
              <w:tabs>
                <w:tab w:val="left" w:pos="1755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01688" w:rsidRPr="003E7A5E" w:rsidRDefault="00001688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rPr>
          <w:trHeight w:val="202"/>
        </w:trPr>
        <w:tc>
          <w:tcPr>
            <w:tcW w:w="5000" w:type="pct"/>
            <w:gridSpan w:val="10"/>
          </w:tcPr>
          <w:p w:rsidR="001F27EB" w:rsidRDefault="001F27EB" w:rsidP="002F129D">
            <w:pPr>
              <w:autoSpaceDE w:val="0"/>
              <w:autoSpaceDN w:val="0"/>
              <w:adjustRightInd w:val="0"/>
              <w:ind w:left="284"/>
              <w:rPr>
                <w:b/>
                <w:sz w:val="18"/>
                <w:szCs w:val="18"/>
              </w:rPr>
            </w:pPr>
          </w:p>
          <w:p w:rsidR="001F27EB" w:rsidRDefault="006736E2" w:rsidP="001F27EB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C35228">
              <w:rPr>
                <w:b/>
                <w:sz w:val="18"/>
                <w:szCs w:val="18"/>
              </w:rPr>
              <w:t>Планируемые затраты на приобретение автотранспортной техники и</w:t>
            </w:r>
          </w:p>
          <w:p w:rsidR="006736E2" w:rsidRDefault="006736E2" w:rsidP="001F27EB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C35228">
              <w:rPr>
                <w:b/>
                <w:sz w:val="18"/>
                <w:szCs w:val="18"/>
              </w:rPr>
              <w:t>распределение по структурным подразделениям в 2018 г.</w:t>
            </w:r>
          </w:p>
          <w:p w:rsidR="001F27EB" w:rsidRPr="00C35228" w:rsidRDefault="001F27EB" w:rsidP="001F27EB">
            <w:pPr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6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№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proofErr w:type="spellStart"/>
            <w:r w:rsidRPr="003E7A5E">
              <w:rPr>
                <w:sz w:val="18"/>
                <w:szCs w:val="18"/>
              </w:rPr>
              <w:t>п\</w:t>
            </w:r>
            <w:proofErr w:type="gramStart"/>
            <w:r w:rsidRPr="003E7A5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C35228" w:rsidRDefault="006736E2" w:rsidP="001F27EB">
            <w:pPr>
              <w:tabs>
                <w:tab w:val="left" w:pos="1755"/>
              </w:tabs>
              <w:ind w:lef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Наименование</w:t>
            </w:r>
          </w:p>
          <w:p w:rsidR="006736E2" w:rsidRPr="00C35228" w:rsidRDefault="006736E2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C35228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Кол-во</w:t>
            </w:r>
          </w:p>
          <w:p w:rsidR="006736E2" w:rsidRPr="00C35228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C35228">
              <w:rPr>
                <w:sz w:val="18"/>
                <w:szCs w:val="18"/>
              </w:rPr>
              <w:t>единиц</w:t>
            </w:r>
          </w:p>
          <w:p w:rsidR="006736E2" w:rsidRPr="00C35228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C35228">
              <w:rPr>
                <w:sz w:val="18"/>
                <w:szCs w:val="18"/>
              </w:rPr>
              <w:t>на</w:t>
            </w:r>
          </w:p>
          <w:p w:rsidR="006736E2" w:rsidRPr="00C35228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закупку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 xml:space="preserve">Стоимость 1 ед. </w:t>
            </w:r>
            <w:r w:rsidRPr="00C35228">
              <w:rPr>
                <w:sz w:val="18"/>
                <w:szCs w:val="18"/>
                <w:lang w:val="en-US"/>
              </w:rPr>
              <w:t>c</w:t>
            </w:r>
            <w:r w:rsidRPr="00C35228">
              <w:rPr>
                <w:sz w:val="18"/>
                <w:szCs w:val="18"/>
              </w:rPr>
              <w:t xml:space="preserve"> НДС,</w:t>
            </w:r>
          </w:p>
          <w:p w:rsidR="006736E2" w:rsidRPr="00C35228" w:rsidRDefault="006736E2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(тыс. руб.)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 xml:space="preserve">Сумма, </w:t>
            </w:r>
            <w:r w:rsidRPr="00C35228">
              <w:rPr>
                <w:sz w:val="18"/>
                <w:szCs w:val="18"/>
                <w:lang w:val="en-US"/>
              </w:rPr>
              <w:t>c</w:t>
            </w:r>
            <w:r w:rsidRPr="00C35228">
              <w:rPr>
                <w:sz w:val="18"/>
                <w:szCs w:val="18"/>
              </w:rPr>
              <w:t xml:space="preserve"> НДС</w:t>
            </w:r>
          </w:p>
          <w:p w:rsidR="006736E2" w:rsidRPr="00C35228" w:rsidRDefault="006736E2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(тыс. руб.)</w:t>
            </w:r>
          </w:p>
        </w:tc>
        <w:tc>
          <w:tcPr>
            <w:tcW w:w="2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C35228" w:rsidRDefault="006736E2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  <w:lang w:eastAsia="en-US"/>
              </w:rPr>
              <w:t>Распределение техники</w:t>
            </w:r>
          </w:p>
        </w:tc>
      </w:tr>
      <w:tr w:rsidR="006736E2" w:rsidRPr="003E7A5E" w:rsidTr="00C33E4D">
        <w:tblPrEx>
          <w:tblLook w:val="04A0"/>
        </w:tblPrEx>
        <w:trPr>
          <w:trHeight w:val="253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C35228" w:rsidRDefault="006736E2" w:rsidP="002F129D">
            <w:pPr>
              <w:tabs>
                <w:tab w:val="left" w:pos="1755"/>
              </w:tabs>
              <w:ind w:left="33"/>
              <w:rPr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C35228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2" w:rsidRPr="00C35228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2" w:rsidRPr="00C35228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2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C35228" w:rsidRDefault="006736E2" w:rsidP="002F129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126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1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6736E2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  <w:lang w:eastAsia="en-US"/>
              </w:rPr>
              <w:t>Грузовой фургон повышенной проходимости (УАЗ-390995)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C35228" w:rsidRDefault="00C35228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C35228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  <w:lang w:eastAsia="en-US"/>
              </w:rPr>
              <w:t>767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C35228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  <w:lang w:eastAsia="en-US"/>
              </w:rPr>
              <w:t>3068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28" w:rsidRDefault="00C35228" w:rsidP="00C35228">
            <w:pPr>
              <w:tabs>
                <w:tab w:val="left" w:pos="17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6313F1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РЭС Ульяновского р-на.  Замена 2 </w:t>
            </w:r>
            <w:proofErr w:type="spellStart"/>
            <w:r>
              <w:rPr>
                <w:sz w:val="20"/>
                <w:szCs w:val="20"/>
                <w:lang w:eastAsia="en-US"/>
              </w:rPr>
              <w:t>ед-ц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изношенных автомобилей сроком эксплуатации более 10 лет.</w:t>
            </w:r>
          </w:p>
          <w:p w:rsidR="00C35228" w:rsidRDefault="00C35228" w:rsidP="00C35228">
            <w:pPr>
              <w:tabs>
                <w:tab w:val="left" w:pos="17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2.РЭС </w:t>
            </w:r>
            <w:proofErr w:type="spellStart"/>
            <w:r>
              <w:rPr>
                <w:sz w:val="20"/>
                <w:szCs w:val="20"/>
                <w:lang w:eastAsia="en-US"/>
              </w:rPr>
              <w:t>Кузоватовского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р-на. Замена изношенного автомобиля </w:t>
            </w:r>
            <w:r w:rsidRPr="008F3833">
              <w:rPr>
                <w:sz w:val="20"/>
                <w:szCs w:val="20"/>
                <w:lang w:eastAsia="en-US"/>
              </w:rPr>
              <w:t>сроком эксплуатации более 10 лет.</w:t>
            </w:r>
          </w:p>
          <w:p w:rsidR="006736E2" w:rsidRPr="00C35228" w:rsidRDefault="00C35228" w:rsidP="00C35228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3.РЭС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т. </w:t>
            </w:r>
            <w:proofErr w:type="spellStart"/>
            <w:r>
              <w:rPr>
                <w:sz w:val="20"/>
                <w:szCs w:val="20"/>
                <w:lang w:eastAsia="en-US"/>
              </w:rPr>
              <w:t>Кулаткинского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р-на. </w:t>
            </w:r>
            <w:r w:rsidRPr="000E6492">
              <w:rPr>
                <w:sz w:val="20"/>
                <w:szCs w:val="20"/>
                <w:lang w:eastAsia="en-US"/>
              </w:rPr>
              <w:t>Замена изношенного автомобиля сроком эксплуатации более 10 лет.</w:t>
            </w:r>
          </w:p>
        </w:tc>
      </w:tr>
      <w:tr w:rsidR="006736E2" w:rsidRPr="003E7A5E" w:rsidTr="00C33E4D">
        <w:tblPrEx>
          <w:tblLook w:val="04A0"/>
        </w:tblPrEx>
        <w:trPr>
          <w:trHeight w:val="91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4C4F4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Автоподъемник</w:t>
            </w:r>
          </w:p>
          <w:p w:rsidR="006736E2" w:rsidRPr="00C35228" w:rsidRDefault="00C3522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val="en-US" w:eastAsia="en-US"/>
              </w:rPr>
            </w:pPr>
            <w:proofErr w:type="gramStart"/>
            <w:r w:rsidRPr="00C35228">
              <w:rPr>
                <w:sz w:val="18"/>
                <w:szCs w:val="18"/>
              </w:rPr>
              <w:t>Чайка</w:t>
            </w:r>
            <w:proofErr w:type="gramEnd"/>
            <w:r w:rsidRPr="00C35228">
              <w:rPr>
                <w:sz w:val="18"/>
                <w:szCs w:val="18"/>
              </w:rPr>
              <w:t>-</w:t>
            </w:r>
            <w:proofErr w:type="spellStart"/>
            <w:r w:rsidRPr="00C35228">
              <w:rPr>
                <w:sz w:val="18"/>
                <w:szCs w:val="18"/>
                <w:lang w:val="en-US"/>
              </w:rPr>
              <w:t>Socagt</w:t>
            </w:r>
            <w:proofErr w:type="spellEnd"/>
            <w:r w:rsidRPr="00C35228">
              <w:rPr>
                <w:sz w:val="18"/>
                <w:szCs w:val="18"/>
                <w:lang w:val="en-US"/>
              </w:rPr>
              <w:t xml:space="preserve"> T318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C35228" w:rsidRDefault="006736E2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C3522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val="en-US" w:eastAsia="en-US"/>
              </w:rPr>
            </w:pPr>
            <w:r w:rsidRPr="00C35228">
              <w:rPr>
                <w:sz w:val="18"/>
                <w:szCs w:val="18"/>
                <w:lang w:val="en-US" w:eastAsia="en-US"/>
              </w:rPr>
              <w:t>4484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C35228" w:rsidRDefault="00C35228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C35228">
              <w:rPr>
                <w:sz w:val="18"/>
                <w:szCs w:val="18"/>
                <w:lang w:val="en-US" w:eastAsia="en-US"/>
              </w:rPr>
              <w:t>4484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C35228" w:rsidRDefault="00C35228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РЭС г. Барыш. Замена вышедшего из строя и не пригодного к дальнейшей эксплуатации арендованного автоподъемника ВС-18 1992 г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ыпуска</w:t>
            </w:r>
            <w:r w:rsidRPr="00C35228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36E2" w:rsidRPr="003E7A5E" w:rsidTr="00C33E4D">
        <w:trPr>
          <w:trHeight w:val="336"/>
        </w:trPr>
        <w:tc>
          <w:tcPr>
            <w:tcW w:w="5000" w:type="pct"/>
            <w:gridSpan w:val="10"/>
          </w:tcPr>
          <w:p w:rsidR="001F27EB" w:rsidRDefault="001F27EB" w:rsidP="002F129D">
            <w:pPr>
              <w:autoSpaceDE w:val="0"/>
              <w:autoSpaceDN w:val="0"/>
              <w:adjustRightInd w:val="0"/>
              <w:ind w:left="284"/>
              <w:rPr>
                <w:b/>
                <w:sz w:val="18"/>
                <w:szCs w:val="18"/>
              </w:rPr>
            </w:pPr>
          </w:p>
          <w:p w:rsidR="001F27EB" w:rsidRDefault="006736E2" w:rsidP="001F27EB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>Планируемые затраты на приобретение автотранспортной техники и</w:t>
            </w:r>
          </w:p>
          <w:p w:rsidR="006736E2" w:rsidRDefault="006736E2" w:rsidP="001F27EB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 xml:space="preserve"> распределение по структурным подразделениям в 2019 г.</w:t>
            </w:r>
          </w:p>
          <w:p w:rsidR="001F27EB" w:rsidRPr="003E7A5E" w:rsidRDefault="001F27EB" w:rsidP="002F129D">
            <w:pPr>
              <w:autoSpaceDE w:val="0"/>
              <w:autoSpaceDN w:val="0"/>
              <w:adjustRightInd w:val="0"/>
              <w:ind w:left="284"/>
              <w:rPr>
                <w:color w:val="000000"/>
                <w:sz w:val="18"/>
                <w:szCs w:val="18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6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№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proofErr w:type="spellStart"/>
            <w:r w:rsidRPr="003E7A5E">
              <w:rPr>
                <w:sz w:val="18"/>
                <w:szCs w:val="18"/>
              </w:rPr>
              <w:t>п\</w:t>
            </w:r>
            <w:proofErr w:type="gramStart"/>
            <w:r w:rsidRPr="003E7A5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Наименование</w:t>
            </w:r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Кол-во</w:t>
            </w:r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единиц</w:t>
            </w:r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на</w:t>
            </w:r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закупку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Стоимость 1 ед.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НДС,</w:t>
            </w:r>
          </w:p>
          <w:p w:rsidR="006736E2" w:rsidRPr="003E7A5E" w:rsidRDefault="006736E2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Сумма,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</w:t>
            </w:r>
          </w:p>
          <w:p w:rsidR="006736E2" w:rsidRPr="003E7A5E" w:rsidRDefault="006736E2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2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Распределение техники</w:t>
            </w:r>
          </w:p>
        </w:tc>
      </w:tr>
      <w:tr w:rsidR="006736E2" w:rsidRPr="003E7A5E" w:rsidTr="00C33E4D">
        <w:tblPrEx>
          <w:tblLook w:val="04A0"/>
        </w:tblPrEx>
        <w:trPr>
          <w:trHeight w:val="253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33"/>
              <w:rPr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2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433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1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Грузовой фургон повышенной проходимости (УАЗ-390995)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78</w:t>
            </w:r>
            <w:r w:rsidR="00AE7EA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628</w:t>
            </w:r>
            <w:r w:rsidR="00AE7EA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1. 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Чердаклинского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-1 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а/м УАЗ №А160ВО, 2009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2. 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Сенгилеевского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– 1ед.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№В983АХ, 2008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3. 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Цильнинского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– 1 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№А050ВО, 2009 г.в.).).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4. РЭС Новоспасского р-на – 1ед.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№А048ВО, 2009г.в.).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5.РЭС Радищевского р-на -1 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№В979АХ, 2008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6.РЭС Павловского р-на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№В978АХ, 2008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7.РЭС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Майнского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-1 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№А044ВО, 2009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8.РЭС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Базарносызганского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№А047ВО, 2009 г.в.).</w:t>
            </w:r>
          </w:p>
        </w:tc>
      </w:tr>
      <w:tr w:rsidR="006736E2" w:rsidRPr="003E7A5E" w:rsidTr="00C33E4D">
        <w:tblPrEx>
          <w:tblLook w:val="04A0"/>
        </w:tblPrEx>
        <w:trPr>
          <w:trHeight w:val="69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Автоподъемник</w:t>
            </w:r>
          </w:p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ПСС-131.17Э на базе ГАЗ-33086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5100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5100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1.РЭС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Базарносызганского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(замена арендованного АП №У910АА, 2006 г.в.).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91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Траншейный экскаватор-погрузчик ЭТЦ-2086 МТЗ-82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2500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2500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1.Филиал ДГЭС (замена арендованного ЭО-2621 №УЕ58-69, 1990 г.в.).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8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Автофургон спец</w:t>
            </w:r>
            <w:proofErr w:type="gramStart"/>
            <w:r w:rsidRPr="003E7A5E">
              <w:rPr>
                <w:sz w:val="18"/>
                <w:szCs w:val="18"/>
              </w:rPr>
              <w:t>.м</w:t>
            </w:r>
            <w:proofErr w:type="gramEnd"/>
            <w:r w:rsidRPr="003E7A5E">
              <w:rPr>
                <w:sz w:val="18"/>
                <w:szCs w:val="18"/>
              </w:rPr>
              <w:t>астерская АРТК-М на базе ГАЗ-3309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2600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2600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1.Филиал ДГЭС (замена 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арендованного</w:t>
            </w:r>
            <w:proofErr w:type="gramEnd"/>
            <w:r w:rsidR="00C33E4D">
              <w:rPr>
                <w:sz w:val="18"/>
                <w:szCs w:val="18"/>
                <w:lang w:eastAsia="en-US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 xml:space="preserve"> а/м</w:t>
            </w:r>
            <w:r w:rsidR="00C33E4D">
              <w:rPr>
                <w:sz w:val="18"/>
                <w:szCs w:val="18"/>
                <w:lang w:eastAsia="en-US"/>
              </w:rPr>
              <w:t xml:space="preserve">   </w:t>
            </w:r>
            <w:r w:rsidRPr="003E7A5E">
              <w:rPr>
                <w:sz w:val="18"/>
                <w:szCs w:val="18"/>
                <w:lang w:eastAsia="en-US"/>
              </w:rPr>
              <w:t xml:space="preserve"> ГАЗ №О741УН, 1994 г.в.).</w:t>
            </w:r>
          </w:p>
        </w:tc>
      </w:tr>
      <w:tr w:rsidR="006736E2" w:rsidRPr="003E7A5E" w:rsidTr="00C33E4D">
        <w:tblPrEx>
          <w:tblLook w:val="04A0"/>
        </w:tblPrEx>
        <w:trPr>
          <w:trHeight w:val="80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Высоковольтная лаборатория HiLine-35U (ЭТЛ-35К) на базе ГАЗ-33081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6500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6500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1.РЭС г. Барыш (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эл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>аборатория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в РЭС отсу</w:t>
            </w:r>
            <w:r w:rsidR="00C33E4D">
              <w:rPr>
                <w:sz w:val="18"/>
                <w:szCs w:val="18"/>
                <w:lang w:eastAsia="en-US"/>
              </w:rPr>
              <w:t xml:space="preserve">тствует </w:t>
            </w:r>
            <w:r w:rsidRPr="003E7A5E">
              <w:rPr>
                <w:sz w:val="18"/>
                <w:szCs w:val="18"/>
                <w:lang w:eastAsia="en-US"/>
              </w:rPr>
              <w:t>.).</w:t>
            </w:r>
          </w:p>
        </w:tc>
      </w:tr>
      <w:tr w:rsidR="006736E2" w:rsidRPr="003E7A5E" w:rsidTr="00C33E4D">
        <w:trPr>
          <w:trHeight w:val="298"/>
        </w:trPr>
        <w:tc>
          <w:tcPr>
            <w:tcW w:w="5000" w:type="pct"/>
            <w:gridSpan w:val="10"/>
            <w:vAlign w:val="center"/>
          </w:tcPr>
          <w:p w:rsidR="00C33E4D" w:rsidRDefault="00C33E4D" w:rsidP="00C33E4D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</w:p>
          <w:p w:rsidR="00C33E4D" w:rsidRDefault="006736E2" w:rsidP="00C33E4D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 xml:space="preserve">Планируемые затраты на приобретение автотранспортной техники и </w:t>
            </w:r>
            <w:r w:rsidR="00C33E4D">
              <w:rPr>
                <w:b/>
                <w:sz w:val="18"/>
                <w:szCs w:val="18"/>
              </w:rPr>
              <w:t xml:space="preserve">  </w:t>
            </w:r>
          </w:p>
          <w:p w:rsidR="006736E2" w:rsidRDefault="006736E2" w:rsidP="00C33E4D">
            <w:pPr>
              <w:autoSpaceDE w:val="0"/>
              <w:autoSpaceDN w:val="0"/>
              <w:adjustRightInd w:val="0"/>
              <w:ind w:left="284"/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>распределение по структурным подразделениям в 2020 г.</w:t>
            </w:r>
          </w:p>
          <w:p w:rsidR="00C33E4D" w:rsidRPr="003E7A5E" w:rsidRDefault="00C33E4D" w:rsidP="00C33E4D">
            <w:pPr>
              <w:autoSpaceDE w:val="0"/>
              <w:autoSpaceDN w:val="0"/>
              <w:adjustRightInd w:val="0"/>
              <w:ind w:left="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6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№</w:t>
            </w:r>
          </w:p>
          <w:p w:rsidR="006736E2" w:rsidRPr="003E7A5E" w:rsidRDefault="006736E2" w:rsidP="00C33E4D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proofErr w:type="spellStart"/>
            <w:r w:rsidRPr="003E7A5E">
              <w:rPr>
                <w:sz w:val="18"/>
                <w:szCs w:val="18"/>
              </w:rPr>
              <w:t>п\</w:t>
            </w:r>
            <w:proofErr w:type="gramStart"/>
            <w:r w:rsidRPr="003E7A5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ind w:lef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Наименование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Кол-во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единиц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на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закупку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C33E4D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Стоимость 1 ед.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НДС,</w:t>
            </w:r>
          </w:p>
          <w:p w:rsidR="006736E2" w:rsidRPr="003E7A5E" w:rsidRDefault="006736E2" w:rsidP="00C33E4D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C33E4D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Сумма,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</w:t>
            </w:r>
          </w:p>
          <w:p w:rsidR="006736E2" w:rsidRPr="003E7A5E" w:rsidRDefault="006736E2" w:rsidP="00C33E4D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2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Распределение техники</w:t>
            </w:r>
          </w:p>
        </w:tc>
      </w:tr>
      <w:tr w:rsidR="006736E2" w:rsidRPr="003E7A5E" w:rsidTr="00C33E4D">
        <w:tblPrEx>
          <w:tblLook w:val="04A0"/>
        </w:tblPrEx>
        <w:trPr>
          <w:trHeight w:val="253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</w:tc>
        <w:tc>
          <w:tcPr>
            <w:tcW w:w="2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239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1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Грузовой фургон повышенной проходимости (УАЗ-390995)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AE7EA3" w:rsidRDefault="00AE7EA3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val="en-US" w:eastAsia="en-US"/>
              </w:rPr>
            </w:pPr>
            <w:r w:rsidRPr="003E7A5E">
              <w:rPr>
                <w:sz w:val="18"/>
                <w:szCs w:val="18"/>
                <w:lang w:val="en-US" w:eastAsia="en-US"/>
              </w:rPr>
              <w:t>864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AE7EA3" w:rsidRDefault="00AE7EA3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4D" w:rsidRDefault="00C33E4D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 РЭС г. Барыш -2ед.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№А938ТС, №А937ТС, 2012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2. РЭС Сурского р-на – 1ед.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№А046ВО, 2009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3. РЭС Ульяновского р-на – 1 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№О442АТ, 2008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4. Филиал ДГЭС – </w:t>
            </w:r>
            <w:r w:rsidR="00AE7EA3">
              <w:rPr>
                <w:sz w:val="18"/>
                <w:szCs w:val="18"/>
                <w:lang w:eastAsia="en-US"/>
              </w:rPr>
              <w:t>2</w:t>
            </w:r>
            <w:r w:rsidRPr="003E7A5E">
              <w:rPr>
                <w:sz w:val="18"/>
                <w:szCs w:val="18"/>
                <w:lang w:eastAsia="en-US"/>
              </w:rPr>
              <w:t>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№А944ТС, №А943ТС – 2012г.</w:t>
            </w:r>
            <w:r w:rsidR="00AE7EA3">
              <w:rPr>
                <w:sz w:val="18"/>
                <w:szCs w:val="18"/>
                <w:lang w:eastAsia="en-US"/>
              </w:rPr>
              <w:t>в.</w:t>
            </w:r>
            <w:r w:rsidRPr="003E7A5E">
              <w:rPr>
                <w:sz w:val="18"/>
                <w:szCs w:val="18"/>
                <w:lang w:eastAsia="en-US"/>
              </w:rPr>
              <w:t>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5.РЭС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Н.Малыклинского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-1 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№А045ВО, 2009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8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Автоподъемник</w:t>
            </w:r>
          </w:p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ПСС-131.17Э на базе ГАЗ-3309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3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5600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16800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1.РЭС г. Барыш -1 ед.</w:t>
            </w:r>
            <w:r w:rsidR="00BA4EB6">
              <w:rPr>
                <w:sz w:val="18"/>
                <w:szCs w:val="18"/>
                <w:lang w:eastAsia="en-US"/>
              </w:rPr>
              <w:t xml:space="preserve">                                      </w:t>
            </w:r>
            <w:r w:rsidRPr="003E7A5E">
              <w:rPr>
                <w:sz w:val="18"/>
                <w:szCs w:val="18"/>
                <w:lang w:eastAsia="en-US"/>
              </w:rPr>
              <w:t>(замена АП №Н387ВТ, 2008 г.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>.).</w:t>
            </w:r>
          </w:p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2.Филиал ДГЭС – 2ед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>замена АП №Н382ВТ и №Н384ВТ, 2008 г.в).</w:t>
            </w:r>
          </w:p>
          <w:p w:rsidR="006736E2" w:rsidRPr="003E7A5E" w:rsidRDefault="006736E2" w:rsidP="00BA4EB6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8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Автомобиль грузовой самосвал ГАЗ-САЗ-35071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190</w:t>
            </w:r>
            <w:r w:rsidR="00AE7EA3">
              <w:rPr>
                <w:sz w:val="18"/>
                <w:szCs w:val="18"/>
              </w:rPr>
              <w:t>6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190</w:t>
            </w:r>
            <w:r w:rsidR="00AE7EA3">
              <w:rPr>
                <w:sz w:val="18"/>
                <w:szCs w:val="18"/>
              </w:rPr>
              <w:t>6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1.РЭС г. Барыш (грузовой автомобиль-самосвал в  РЭС отсут</w:t>
            </w:r>
            <w:r w:rsidR="00BA4EB6">
              <w:rPr>
                <w:sz w:val="18"/>
                <w:szCs w:val="18"/>
                <w:lang w:eastAsia="en-US"/>
              </w:rPr>
              <w:t>ст</w:t>
            </w:r>
            <w:r w:rsidRPr="003E7A5E">
              <w:rPr>
                <w:sz w:val="18"/>
                <w:szCs w:val="18"/>
                <w:lang w:eastAsia="en-US"/>
              </w:rPr>
              <w:t>в</w:t>
            </w:r>
            <w:r w:rsidR="00BA4EB6">
              <w:rPr>
                <w:sz w:val="18"/>
                <w:szCs w:val="18"/>
                <w:lang w:eastAsia="en-US"/>
              </w:rPr>
              <w:t>ует</w:t>
            </w:r>
            <w:r w:rsidRPr="003E7A5E">
              <w:rPr>
                <w:sz w:val="18"/>
                <w:szCs w:val="18"/>
                <w:lang w:eastAsia="en-US"/>
              </w:rPr>
              <w:t>.).</w:t>
            </w:r>
          </w:p>
        </w:tc>
      </w:tr>
      <w:tr w:rsidR="006736E2" w:rsidRPr="003E7A5E" w:rsidTr="00C33E4D">
        <w:tblPrEx>
          <w:tblLook w:val="04A0"/>
        </w:tblPrEx>
        <w:trPr>
          <w:trHeight w:val="85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4.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Бурильно-крановая машина БКМ-317 на ба</w:t>
            </w:r>
            <w:r w:rsidR="001F27EB">
              <w:rPr>
                <w:sz w:val="18"/>
                <w:szCs w:val="18"/>
              </w:rPr>
              <w:t>е</w:t>
            </w:r>
            <w:r w:rsidRPr="003E7A5E">
              <w:rPr>
                <w:sz w:val="18"/>
                <w:szCs w:val="18"/>
              </w:rPr>
              <w:t xml:space="preserve"> ГАЗ-33081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1F27EB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AE7EA3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AE7EA3" w:rsidP="001F27EB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C33E4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1.Филиал ДГЭС (замена БКМ №У876ВХ,</w:t>
            </w:r>
            <w:r w:rsidR="00BA4EB6">
              <w:rPr>
                <w:sz w:val="18"/>
                <w:szCs w:val="18"/>
                <w:lang w:eastAsia="en-US"/>
              </w:rPr>
              <w:t xml:space="preserve">    </w:t>
            </w:r>
            <w:r w:rsidRPr="003E7A5E">
              <w:rPr>
                <w:sz w:val="18"/>
                <w:szCs w:val="18"/>
                <w:lang w:eastAsia="en-US"/>
              </w:rPr>
              <w:t xml:space="preserve"> 2008 г.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>.).</w:t>
            </w:r>
          </w:p>
        </w:tc>
      </w:tr>
      <w:tr w:rsidR="006736E2" w:rsidRPr="003E7A5E" w:rsidTr="00C33E4D">
        <w:trPr>
          <w:trHeight w:val="413"/>
        </w:trPr>
        <w:tc>
          <w:tcPr>
            <w:tcW w:w="5000" w:type="pct"/>
            <w:gridSpan w:val="10"/>
          </w:tcPr>
          <w:p w:rsidR="00BA4EB6" w:rsidRDefault="00BA4EB6" w:rsidP="002F129D">
            <w:pPr>
              <w:tabs>
                <w:tab w:val="left" w:pos="1755"/>
              </w:tabs>
              <w:rPr>
                <w:b/>
                <w:sz w:val="18"/>
                <w:szCs w:val="18"/>
              </w:rPr>
            </w:pPr>
          </w:p>
          <w:p w:rsidR="006736E2" w:rsidRDefault="006736E2" w:rsidP="00BA4EB6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 xml:space="preserve">Планируемые затраты на приобретение автотранспортной техники и </w:t>
            </w:r>
            <w:r w:rsidR="00BA4EB6"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 w:rsidRPr="003E7A5E">
              <w:rPr>
                <w:b/>
                <w:sz w:val="18"/>
                <w:szCs w:val="18"/>
              </w:rPr>
              <w:t>распределение по структурным подразделениям в 2021 г.</w:t>
            </w:r>
          </w:p>
          <w:p w:rsidR="00BA4EB6" w:rsidRPr="003E7A5E" w:rsidRDefault="00BA4EB6" w:rsidP="002F129D">
            <w:pPr>
              <w:tabs>
                <w:tab w:val="left" w:pos="1755"/>
              </w:tabs>
              <w:rPr>
                <w:b/>
                <w:sz w:val="18"/>
                <w:szCs w:val="18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6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№</w:t>
            </w:r>
          </w:p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proofErr w:type="spellStart"/>
            <w:r w:rsidRPr="003E7A5E">
              <w:rPr>
                <w:sz w:val="18"/>
                <w:szCs w:val="18"/>
              </w:rPr>
              <w:t>п\</w:t>
            </w:r>
            <w:proofErr w:type="gramStart"/>
            <w:r w:rsidRPr="003E7A5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6736E2" w:rsidRPr="003E7A5E" w:rsidRDefault="006736E2" w:rsidP="00BA4EB6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3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Наименование</w:t>
            </w:r>
          </w:p>
          <w:p w:rsidR="006736E2" w:rsidRPr="003E7A5E" w:rsidRDefault="006736E2" w:rsidP="00BA4EB6">
            <w:pPr>
              <w:tabs>
                <w:tab w:val="left" w:pos="17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Кол-во</w:t>
            </w:r>
          </w:p>
          <w:p w:rsidR="006736E2" w:rsidRPr="003E7A5E" w:rsidRDefault="006736E2" w:rsidP="00BA4EB6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единиц</w:t>
            </w:r>
          </w:p>
          <w:p w:rsidR="006736E2" w:rsidRPr="003E7A5E" w:rsidRDefault="006736E2" w:rsidP="00BA4EB6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на</w:t>
            </w:r>
          </w:p>
          <w:p w:rsidR="006736E2" w:rsidRPr="003E7A5E" w:rsidRDefault="006736E2" w:rsidP="00BA4EB6">
            <w:pPr>
              <w:tabs>
                <w:tab w:val="left" w:pos="1755"/>
              </w:tabs>
              <w:spacing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закупку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Стоимость 1 ед.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НДС,</w:t>
            </w:r>
          </w:p>
          <w:p w:rsidR="006736E2" w:rsidRPr="003E7A5E" w:rsidRDefault="006736E2" w:rsidP="00BA4EB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 xml:space="preserve">Сумма, </w:t>
            </w:r>
            <w:r w:rsidRPr="003E7A5E">
              <w:rPr>
                <w:sz w:val="18"/>
                <w:szCs w:val="18"/>
                <w:lang w:val="en-US"/>
              </w:rPr>
              <w:t>c</w:t>
            </w:r>
            <w:r w:rsidRPr="003E7A5E">
              <w:rPr>
                <w:sz w:val="18"/>
                <w:szCs w:val="18"/>
              </w:rPr>
              <w:t xml:space="preserve"> НДС</w:t>
            </w:r>
          </w:p>
          <w:p w:rsidR="006736E2" w:rsidRPr="003E7A5E" w:rsidRDefault="006736E2" w:rsidP="00BA4EB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</w:rPr>
              <w:t>(тыс. руб.)</w:t>
            </w:r>
          </w:p>
        </w:tc>
        <w:tc>
          <w:tcPr>
            <w:tcW w:w="20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Распределение техники</w:t>
            </w:r>
          </w:p>
        </w:tc>
      </w:tr>
      <w:tr w:rsidR="006736E2" w:rsidRPr="003E7A5E" w:rsidTr="00C33E4D">
        <w:tblPrEx>
          <w:tblLook w:val="04A0"/>
        </w:tblPrEx>
        <w:trPr>
          <w:trHeight w:val="253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33"/>
              <w:rPr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E2" w:rsidRPr="003E7A5E" w:rsidRDefault="006736E2" w:rsidP="002F129D">
            <w:pPr>
              <w:tabs>
                <w:tab w:val="left" w:pos="1755"/>
              </w:tabs>
              <w:ind w:left="6"/>
              <w:rPr>
                <w:sz w:val="18"/>
                <w:szCs w:val="18"/>
              </w:rPr>
            </w:pPr>
          </w:p>
        </w:tc>
        <w:tc>
          <w:tcPr>
            <w:tcW w:w="20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253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5C2384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Легковой автомобиль</w:t>
            </w:r>
            <w:proofErr w:type="gramStart"/>
            <w:r w:rsidR="00AE7EA3">
              <w:rPr>
                <w:sz w:val="18"/>
                <w:szCs w:val="18"/>
              </w:rPr>
              <w:t xml:space="preserve"> В</w:t>
            </w:r>
            <w:proofErr w:type="gramEnd"/>
            <w:r w:rsidR="00AE7EA3">
              <w:rPr>
                <w:sz w:val="18"/>
                <w:szCs w:val="18"/>
              </w:rPr>
              <w:t xml:space="preserve"> класса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6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9</w:t>
            </w:r>
            <w:r w:rsidR="00AE7EA3">
              <w:rPr>
                <w:sz w:val="18"/>
                <w:szCs w:val="18"/>
              </w:rPr>
              <w:t>00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9</w:t>
            </w:r>
            <w:r w:rsidR="00AE7EA3">
              <w:rPr>
                <w:sz w:val="18"/>
                <w:szCs w:val="18"/>
              </w:rPr>
              <w:t>00</w:t>
            </w:r>
          </w:p>
        </w:tc>
        <w:tc>
          <w:tcPr>
            <w:tcW w:w="20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1.Центральная база – 1ед.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РЕНО №В386УУ, 2013 г.в.).</w:t>
            </w:r>
          </w:p>
        </w:tc>
      </w:tr>
      <w:tr w:rsidR="006736E2" w:rsidRPr="003E7A5E" w:rsidTr="00C33E4D">
        <w:tblPrEx>
          <w:tblLook w:val="04A0"/>
        </w:tblPrEx>
        <w:trPr>
          <w:trHeight w:val="322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5C2384" w:rsidP="00BA4EB6">
            <w:pPr>
              <w:tabs>
                <w:tab w:val="left" w:pos="1755"/>
              </w:tabs>
              <w:ind w:left="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  <w:p w:rsidR="006736E2" w:rsidRPr="003E7A5E" w:rsidRDefault="006736E2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</w:p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BA4EB6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Грузовой фургон повышенной проходимости (УАЗ-390995)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950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5700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1. РЭС г. Барыш -1ед.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№А939ТС, 2012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2. 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Цильнинского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– 1ед.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№Е064ЕН, 2011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3. РЭС Николаевского р-на – 1 ед.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№А941ТС, 2012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4.РЭС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Вешкаймского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-1 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№Е065ЕН, 2011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5.РЭС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Майнского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– 1ед.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№Е063ЕН, 2011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6.РЭС Сурского р-на – 1ед.</w:t>
            </w:r>
            <w:r w:rsidRPr="003E7A5E">
              <w:rPr>
                <w:sz w:val="18"/>
                <w:szCs w:val="18"/>
              </w:rPr>
              <w:t xml:space="preserve"> (</w:t>
            </w:r>
            <w:proofErr w:type="gramStart"/>
            <w:r w:rsidRPr="003E7A5E">
              <w:rPr>
                <w:sz w:val="18"/>
                <w:szCs w:val="18"/>
                <w:lang w:eastAsia="en-US"/>
              </w:rPr>
              <w:t>замена</w:t>
            </w:r>
            <w:proofErr w:type="gramEnd"/>
            <w:r w:rsidRPr="003E7A5E">
              <w:rPr>
                <w:sz w:val="18"/>
                <w:szCs w:val="18"/>
                <w:lang w:eastAsia="en-US"/>
              </w:rPr>
              <w:t xml:space="preserve"> а/м УАЗ №А940ТС, 2012 г.в.).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90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5C2384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Бурильно-крановая машина БКМ-317 </w:t>
            </w:r>
            <w:proofErr w:type="gramStart"/>
            <w:r w:rsidRPr="003E7A5E">
              <w:rPr>
                <w:sz w:val="18"/>
                <w:szCs w:val="18"/>
              </w:rPr>
              <w:t>на</w:t>
            </w:r>
            <w:proofErr w:type="gramEnd"/>
            <w:r w:rsidRPr="003E7A5E">
              <w:rPr>
                <w:sz w:val="18"/>
                <w:szCs w:val="18"/>
              </w:rPr>
              <w:t xml:space="preserve"> база ГАЗ-33081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1.РЭС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Тереньгульского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(замена БКМ №У877ВХ, 2008 г.в.)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36E2" w:rsidRPr="003E7A5E" w:rsidTr="00C33E4D">
        <w:tblPrEx>
          <w:tblLook w:val="04A0"/>
        </w:tblPrEx>
        <w:trPr>
          <w:trHeight w:val="90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5C2384" w:rsidP="00BA4EB6">
            <w:pPr>
              <w:tabs>
                <w:tab w:val="left" w:pos="1755"/>
              </w:tabs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Автоподъемник</w:t>
            </w:r>
          </w:p>
          <w:p w:rsidR="006736E2" w:rsidRPr="003E7A5E" w:rsidRDefault="006736E2" w:rsidP="00BA4EB6">
            <w:pPr>
              <w:tabs>
                <w:tab w:val="left" w:pos="1755"/>
              </w:tabs>
              <w:ind w:left="3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ПСС-131.17Э на базе ГАЗ-3309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E2" w:rsidRPr="003E7A5E" w:rsidRDefault="006736E2" w:rsidP="00BA4EB6">
            <w:pPr>
              <w:tabs>
                <w:tab w:val="left" w:pos="1755"/>
              </w:tabs>
              <w:spacing w:after="200" w:line="276" w:lineRule="auto"/>
              <w:ind w:left="6"/>
              <w:jc w:val="center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12000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 xml:space="preserve">1.РЭС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Цильнинского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(замена АП №Р424ВУ, 2008 г.в.)</w:t>
            </w:r>
          </w:p>
          <w:p w:rsidR="006736E2" w:rsidRPr="003E7A5E" w:rsidRDefault="006736E2" w:rsidP="002F129D">
            <w:pPr>
              <w:tabs>
                <w:tab w:val="left" w:pos="17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E7A5E">
              <w:rPr>
                <w:sz w:val="18"/>
                <w:szCs w:val="18"/>
                <w:lang w:eastAsia="en-US"/>
              </w:rPr>
              <w:t>2.</w:t>
            </w:r>
            <w:r w:rsidRPr="003E7A5E">
              <w:rPr>
                <w:sz w:val="18"/>
                <w:szCs w:val="18"/>
              </w:rPr>
              <w:t xml:space="preserve"> </w:t>
            </w:r>
            <w:r w:rsidRPr="003E7A5E">
              <w:rPr>
                <w:sz w:val="18"/>
                <w:szCs w:val="18"/>
                <w:lang w:eastAsia="en-US"/>
              </w:rPr>
              <w:t xml:space="preserve">РЭС </w:t>
            </w:r>
            <w:proofErr w:type="spellStart"/>
            <w:r w:rsidRPr="003E7A5E">
              <w:rPr>
                <w:sz w:val="18"/>
                <w:szCs w:val="18"/>
                <w:lang w:eastAsia="en-US"/>
              </w:rPr>
              <w:t>Карсунского</w:t>
            </w:r>
            <w:proofErr w:type="spellEnd"/>
            <w:r w:rsidRPr="003E7A5E">
              <w:rPr>
                <w:sz w:val="18"/>
                <w:szCs w:val="18"/>
                <w:lang w:eastAsia="en-US"/>
              </w:rPr>
              <w:t xml:space="preserve"> р-на (замена АП №С595ВУ, 2008 г.в.)</w:t>
            </w:r>
          </w:p>
        </w:tc>
      </w:tr>
    </w:tbl>
    <w:p w:rsidR="00001688" w:rsidRPr="003E7A5E" w:rsidRDefault="00001688" w:rsidP="00001688">
      <w:pPr>
        <w:spacing w:line="240" w:lineRule="exact"/>
        <w:ind w:left="426" w:firstLine="709"/>
        <w:jc w:val="both"/>
      </w:pPr>
    </w:p>
    <w:p w:rsidR="00001688" w:rsidRDefault="00F4226E" w:rsidP="00F4226E">
      <w:pPr>
        <w:spacing w:line="240" w:lineRule="exact"/>
        <w:jc w:val="both"/>
      </w:pPr>
      <w:r w:rsidRPr="003E7A5E">
        <w:t xml:space="preserve">     Прогнозные цены </w:t>
      </w:r>
      <w:r w:rsidR="00E37D8A" w:rsidRPr="003E7A5E">
        <w:t xml:space="preserve">приобретения </w:t>
      </w:r>
      <w:r w:rsidR="00B479A8" w:rsidRPr="003E7A5E">
        <w:t>транспорта и спецтехники на</w:t>
      </w:r>
      <w:r w:rsidRPr="003E7A5E">
        <w:t xml:space="preserve"> 201</w:t>
      </w:r>
      <w:r w:rsidR="006A6ADB" w:rsidRPr="006A6ADB">
        <w:t>8</w:t>
      </w:r>
      <w:r w:rsidRPr="003E7A5E">
        <w:t>-2021 г. определены с учетом ожидаемого индекса инфляции</w:t>
      </w:r>
      <w:r w:rsidR="00B479A8" w:rsidRPr="003E7A5E">
        <w:t xml:space="preserve">. </w:t>
      </w:r>
      <w:r w:rsidR="00001688" w:rsidRPr="003E7A5E">
        <w:t xml:space="preserve">Финансовые затраты на приобретение спецтехники </w:t>
      </w:r>
      <w:r w:rsidR="00C33E4D">
        <w:t>в 2018г</w:t>
      </w:r>
      <w:proofErr w:type="gramStart"/>
      <w:r w:rsidR="00C33E4D">
        <w:t>.</w:t>
      </w:r>
      <w:r w:rsidR="00001688" w:rsidRPr="003E7A5E">
        <w:t>с</w:t>
      </w:r>
      <w:proofErr w:type="gramEnd"/>
      <w:r w:rsidR="00001688" w:rsidRPr="003E7A5E">
        <w:t xml:space="preserve">оставляют </w:t>
      </w:r>
      <w:r w:rsidR="00C33E4D">
        <w:rPr>
          <w:color w:val="FF0000"/>
        </w:rPr>
        <w:t xml:space="preserve">15,0 </w:t>
      </w:r>
      <w:r w:rsidR="00AB6B2A" w:rsidRPr="00DA0636">
        <w:t>%</w:t>
      </w:r>
      <w:r w:rsidR="00001688" w:rsidRPr="00DA0636">
        <w:t xml:space="preserve"> от</w:t>
      </w:r>
      <w:r w:rsidR="00001688" w:rsidRPr="003E7A5E">
        <w:t xml:space="preserve"> общей суммы финансирования инвест</w:t>
      </w:r>
      <w:r w:rsidR="00AB6B2A">
        <w:t>иционной программ</w:t>
      </w:r>
      <w:r w:rsidR="00DA0636">
        <w:t>ы</w:t>
      </w:r>
      <w:r w:rsidR="00AB6B2A">
        <w:t xml:space="preserve">, что не превышает уровня, определенного регулирующим органом на финансирование данной статьи. </w:t>
      </w:r>
    </w:p>
    <w:p w:rsidR="005C2384" w:rsidRPr="003E7A5E" w:rsidRDefault="005C2384" w:rsidP="00F4226E">
      <w:pPr>
        <w:spacing w:line="240" w:lineRule="exact"/>
        <w:jc w:val="both"/>
      </w:pPr>
      <w:r>
        <w:t xml:space="preserve">      При планировании затрат на приобретение легкового автотранспорта стоимость объекта не превышает 1000 тыс</w:t>
      </w:r>
      <w:proofErr w:type="gramStart"/>
      <w:r>
        <w:t>.р</w:t>
      </w:r>
      <w:proofErr w:type="gramEnd"/>
      <w:r>
        <w:t>уб. без учета НДС на единицу.</w:t>
      </w:r>
    </w:p>
    <w:p w:rsidR="00001688" w:rsidRPr="003E7A5E" w:rsidRDefault="00001688" w:rsidP="00001688">
      <w:pPr>
        <w:spacing w:line="240" w:lineRule="exact"/>
        <w:ind w:left="426" w:firstLine="709"/>
        <w:jc w:val="both"/>
      </w:pPr>
    </w:p>
    <w:tbl>
      <w:tblPr>
        <w:tblW w:w="9418" w:type="dxa"/>
        <w:tblLook w:val="04A0"/>
      </w:tblPr>
      <w:tblGrid>
        <w:gridCol w:w="4057"/>
        <w:gridCol w:w="5361"/>
      </w:tblGrid>
      <w:tr w:rsidR="00C33E4D" w:rsidRPr="003E7A5E" w:rsidTr="007565C7">
        <w:trPr>
          <w:trHeight w:val="869"/>
        </w:trPr>
        <w:tc>
          <w:tcPr>
            <w:tcW w:w="4057" w:type="dxa"/>
          </w:tcPr>
          <w:p w:rsidR="00C33E4D" w:rsidRPr="003E7A5E" w:rsidRDefault="00C33E4D" w:rsidP="00C33E4D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C33E4D" w:rsidRDefault="00C33E4D" w:rsidP="00C33E4D">
            <w:pPr>
              <w:spacing w:line="240" w:lineRule="exact"/>
              <w:rPr>
                <w:rFonts w:eastAsiaTheme="minorHAnsi"/>
                <w:color w:val="595959" w:themeColor="text1" w:themeTint="A6"/>
              </w:rPr>
            </w:pPr>
            <w:r w:rsidRPr="00A24220">
              <w:rPr>
                <w:rFonts w:eastAsiaTheme="minorHAnsi"/>
                <w:color w:val="595959" w:themeColor="text1" w:themeTint="A6"/>
              </w:rPr>
              <w:t>Раздел ИП:</w:t>
            </w:r>
            <w:r>
              <w:rPr>
                <w:rFonts w:eastAsiaTheme="minorHAnsi"/>
                <w:color w:val="595959" w:themeColor="text1" w:themeTint="A6"/>
              </w:rPr>
              <w:t xml:space="preserve"> </w:t>
            </w:r>
          </w:p>
          <w:p w:rsidR="00C33E4D" w:rsidRPr="00A24220" w:rsidRDefault="00C33E4D" w:rsidP="00A80456">
            <w:pPr>
              <w:spacing w:line="240" w:lineRule="exact"/>
              <w:rPr>
                <w:rFonts w:eastAsiaTheme="minorHAnsi"/>
                <w:b/>
                <w:color w:val="595959" w:themeColor="text1" w:themeTint="A6"/>
              </w:rPr>
            </w:pPr>
            <w:r w:rsidRPr="00A24220">
              <w:rPr>
                <w:rFonts w:eastAsiaTheme="minorHAnsi"/>
                <w:b/>
              </w:rPr>
              <w:t xml:space="preserve">«Приобретение </w:t>
            </w:r>
            <w:r w:rsidR="00A80456">
              <w:rPr>
                <w:rFonts w:eastAsiaTheme="minorHAnsi"/>
                <w:b/>
              </w:rPr>
              <w:t>вычислительной техники и оргтехники</w:t>
            </w:r>
            <w:r w:rsidRPr="00A24220">
              <w:rPr>
                <w:rFonts w:eastAsiaTheme="minorHAnsi"/>
                <w:b/>
              </w:rPr>
              <w:t>»</w:t>
            </w:r>
          </w:p>
        </w:tc>
        <w:tc>
          <w:tcPr>
            <w:tcW w:w="5361" w:type="dxa"/>
          </w:tcPr>
          <w:p w:rsidR="00C33E4D" w:rsidRPr="003E7A5E" w:rsidRDefault="00C33E4D" w:rsidP="00C33E4D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C33E4D" w:rsidRPr="003E7A5E" w:rsidRDefault="00C33E4D" w:rsidP="00C33E4D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C33E4D" w:rsidRPr="003E7A5E" w:rsidRDefault="00C33E4D" w:rsidP="00C33E4D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C33E4D" w:rsidRPr="003E7A5E" w:rsidRDefault="00C33E4D" w:rsidP="00C33E4D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C33E4D" w:rsidRPr="003E7A5E" w:rsidRDefault="00C33E4D" w:rsidP="00C33E4D">
            <w:pPr>
              <w:spacing w:line="240" w:lineRule="exact"/>
              <w:ind w:left="344" w:hanging="344"/>
              <w:jc w:val="both"/>
              <w:rPr>
                <w:rFonts w:eastAsiaTheme="minorHAnsi"/>
              </w:rPr>
            </w:pPr>
          </w:p>
          <w:p w:rsidR="00C33E4D" w:rsidRPr="003E7A5E" w:rsidRDefault="00C33E4D" w:rsidP="00C33E4D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</w:tbl>
    <w:p w:rsidR="00001688" w:rsidRPr="003E7A5E" w:rsidRDefault="00001688" w:rsidP="00A80456">
      <w:pPr>
        <w:pStyle w:val="a3"/>
        <w:ind w:firstLine="709"/>
      </w:pPr>
      <w:r w:rsidRPr="003E7A5E">
        <w:t xml:space="preserve">  </w:t>
      </w:r>
      <w:r w:rsidR="00E37D8A" w:rsidRPr="003E7A5E">
        <w:t>П</w:t>
      </w:r>
      <w:r w:rsidRPr="003E7A5E">
        <w:t>риобретение вычислительной техники и оргтехники необходим</w:t>
      </w:r>
      <w:r w:rsidR="002F129D" w:rsidRPr="003E7A5E">
        <w:t>о</w:t>
      </w:r>
      <w:r w:rsidRPr="003E7A5E">
        <w:t xml:space="preserve">:   </w:t>
      </w:r>
    </w:p>
    <w:p w:rsidR="00DC0DED" w:rsidRPr="003E7A5E" w:rsidRDefault="00DC0DED" w:rsidP="00DC0DED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в связи с моральным и физическим износом;</w:t>
      </w:r>
    </w:p>
    <w:p w:rsidR="00DC0DED" w:rsidRPr="003E7A5E" w:rsidRDefault="00DC0DED" w:rsidP="00DC0DED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для организации: </w:t>
      </w:r>
    </w:p>
    <w:p w:rsidR="00001688" w:rsidRPr="003E7A5E" w:rsidRDefault="00DC0DED" w:rsidP="00DC0DED">
      <w:pPr>
        <w:pStyle w:val="a4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- новых рабочих мест</w:t>
      </w:r>
    </w:p>
    <w:p w:rsidR="00001688" w:rsidRPr="003E7A5E" w:rsidRDefault="00DC0DED" w:rsidP="00DC0DED">
      <w:pPr>
        <w:pStyle w:val="a4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="00001688" w:rsidRPr="003E7A5E">
        <w:rPr>
          <w:rFonts w:ascii="Times New Roman" w:hAnsi="Times New Roman"/>
          <w:color w:val="auto"/>
          <w:sz w:val="24"/>
          <w:szCs w:val="24"/>
        </w:rPr>
        <w:t>IP</w:t>
      </w: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-телефонии</w:t>
      </w:r>
    </w:p>
    <w:p w:rsidR="00001688" w:rsidRPr="003E7A5E" w:rsidRDefault="00DC0DED" w:rsidP="00DC0DED">
      <w:pPr>
        <w:pStyle w:val="a4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="00001688" w:rsidRPr="003E7A5E">
        <w:rPr>
          <w:rFonts w:ascii="Times New Roman" w:hAnsi="Times New Roman"/>
          <w:color w:val="auto"/>
          <w:sz w:val="24"/>
          <w:szCs w:val="24"/>
          <w:lang w:val="ru-RU"/>
        </w:rPr>
        <w:t>файлового хранилища</w:t>
      </w:r>
    </w:p>
    <w:p w:rsidR="00E047CE" w:rsidRPr="003E7A5E" w:rsidRDefault="00DC0DED" w:rsidP="00DC0DED">
      <w:pPr>
        <w:pStyle w:val="a4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="00E047CE" w:rsidRPr="003E7A5E">
        <w:rPr>
          <w:rFonts w:ascii="Times New Roman" w:hAnsi="Times New Roman"/>
          <w:color w:val="auto"/>
          <w:sz w:val="24"/>
          <w:szCs w:val="24"/>
          <w:lang w:val="ru-RU"/>
        </w:rPr>
        <w:t>выделенного сервера электронного документооборота.</w:t>
      </w:r>
    </w:p>
    <w:p w:rsidR="00FD7F3D" w:rsidRDefault="002F129D" w:rsidP="00A80456">
      <w:pPr>
        <w:pStyle w:val="a4"/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>Указанные цены в следующей таблиц</w:t>
      </w:r>
      <w:r w:rsidR="0034565D" w:rsidRPr="003E7A5E">
        <w:rPr>
          <w:rFonts w:ascii="Times New Roman" w:hAnsi="Times New Roman"/>
          <w:color w:val="auto"/>
          <w:sz w:val="24"/>
          <w:szCs w:val="24"/>
          <w:lang w:val="ru-RU"/>
        </w:rPr>
        <w:t>е</w:t>
      </w: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CA1038">
        <w:rPr>
          <w:rFonts w:ascii="Times New Roman" w:hAnsi="Times New Roman"/>
          <w:color w:val="auto"/>
          <w:sz w:val="24"/>
          <w:szCs w:val="24"/>
          <w:lang w:val="ru-RU"/>
        </w:rPr>
        <w:t xml:space="preserve">на период 2018-2021 гг. </w:t>
      </w:r>
      <w:proofErr w:type="gramStart"/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являются </w:t>
      </w:r>
      <w:r w:rsidR="0034565D" w:rsidRPr="003E7A5E">
        <w:rPr>
          <w:rFonts w:ascii="Times New Roman" w:hAnsi="Times New Roman"/>
          <w:color w:val="auto"/>
          <w:sz w:val="24"/>
          <w:szCs w:val="24"/>
          <w:lang w:val="ru-RU"/>
        </w:rPr>
        <w:t>прогнозными</w:t>
      </w:r>
      <w:r w:rsidR="00D20E83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r w:rsidR="0034565D"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 определены</w:t>
      </w:r>
      <w:proofErr w:type="gramEnd"/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 на основе изучения рынка данной продукции по состоянию на 1 квартал 201</w:t>
      </w:r>
      <w:r w:rsidR="00A80456">
        <w:rPr>
          <w:rFonts w:ascii="Times New Roman" w:hAnsi="Times New Roman"/>
          <w:color w:val="auto"/>
          <w:sz w:val="24"/>
          <w:szCs w:val="24"/>
          <w:lang w:val="ru-RU"/>
        </w:rPr>
        <w:t>8</w:t>
      </w:r>
      <w:r w:rsidRPr="003E7A5E">
        <w:rPr>
          <w:rFonts w:ascii="Times New Roman" w:hAnsi="Times New Roman"/>
          <w:color w:val="auto"/>
          <w:sz w:val="24"/>
          <w:szCs w:val="24"/>
          <w:lang w:val="ru-RU"/>
        </w:rPr>
        <w:t xml:space="preserve"> года и скорректированными с учетом прогнозного индекса инфляции на последующие периоды.</w:t>
      </w:r>
      <w:r w:rsidR="00834A8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E37D8A" w:rsidRPr="003E7A5E" w:rsidRDefault="00E37D8A" w:rsidP="00E37D8A">
      <w:pPr>
        <w:pStyle w:val="a4"/>
        <w:autoSpaceDE w:val="0"/>
        <w:autoSpaceDN w:val="0"/>
        <w:adjustRightInd w:val="0"/>
        <w:spacing w:after="0" w:line="240" w:lineRule="atLeast"/>
        <w:ind w:left="426"/>
        <w:jc w:val="both"/>
        <w:rPr>
          <w:rFonts w:ascii="Times New Roman" w:hAnsi="Times New Roman"/>
          <w:i/>
          <w:color w:val="auto"/>
          <w:sz w:val="24"/>
          <w:szCs w:val="24"/>
          <w:lang w:val="ru-RU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3238"/>
        <w:gridCol w:w="1122"/>
        <w:gridCol w:w="1277"/>
        <w:gridCol w:w="992"/>
        <w:gridCol w:w="2942"/>
      </w:tblGrid>
      <w:tr w:rsidR="00C33E4D" w:rsidRPr="003E7A5E" w:rsidTr="007565C7">
        <w:trPr>
          <w:trHeight w:val="544"/>
        </w:trPr>
        <w:tc>
          <w:tcPr>
            <w:tcW w:w="1692" w:type="pct"/>
            <w:vAlign w:val="center"/>
            <w:hideMark/>
          </w:tcPr>
          <w:p w:rsidR="00C33E4D" w:rsidRPr="003E7A5E" w:rsidRDefault="00C33E4D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86" w:type="pct"/>
            <w:vAlign w:val="center"/>
            <w:hideMark/>
          </w:tcPr>
          <w:p w:rsidR="00C33E4D" w:rsidRPr="003E7A5E" w:rsidRDefault="00C33E4D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Цена </w:t>
            </w:r>
            <w:r>
              <w:rPr>
                <w:sz w:val="18"/>
                <w:szCs w:val="18"/>
              </w:rPr>
              <w:t xml:space="preserve">с </w:t>
            </w:r>
            <w:r w:rsidRPr="003E7A5E">
              <w:rPr>
                <w:sz w:val="18"/>
                <w:szCs w:val="18"/>
              </w:rPr>
              <w:t xml:space="preserve"> НДС, </w:t>
            </w:r>
            <w:r>
              <w:rPr>
                <w:sz w:val="18"/>
                <w:szCs w:val="18"/>
              </w:rPr>
              <w:t xml:space="preserve"> тыс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3E7A5E">
              <w:rPr>
                <w:sz w:val="18"/>
                <w:szCs w:val="18"/>
              </w:rPr>
              <w:t>р</w:t>
            </w:r>
            <w:proofErr w:type="gramEnd"/>
            <w:r w:rsidRPr="003E7A5E">
              <w:rPr>
                <w:sz w:val="18"/>
                <w:szCs w:val="18"/>
              </w:rPr>
              <w:t>уб.</w:t>
            </w:r>
          </w:p>
        </w:tc>
        <w:tc>
          <w:tcPr>
            <w:tcW w:w="667" w:type="pct"/>
            <w:vAlign w:val="center"/>
            <w:hideMark/>
          </w:tcPr>
          <w:p w:rsidR="00C33E4D" w:rsidRPr="003E7A5E" w:rsidRDefault="00C33E4D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518" w:type="pct"/>
            <w:vAlign w:val="center"/>
            <w:hideMark/>
          </w:tcPr>
          <w:p w:rsidR="00C33E4D" w:rsidRPr="003E7A5E" w:rsidRDefault="00C33E4D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Стоимость </w:t>
            </w:r>
            <w:r>
              <w:rPr>
                <w:sz w:val="18"/>
                <w:szCs w:val="18"/>
              </w:rPr>
              <w:t xml:space="preserve">с </w:t>
            </w:r>
            <w:r w:rsidRPr="003E7A5E">
              <w:rPr>
                <w:sz w:val="18"/>
                <w:szCs w:val="18"/>
              </w:rPr>
              <w:t xml:space="preserve">НДС, </w:t>
            </w:r>
            <w:r>
              <w:rPr>
                <w:sz w:val="18"/>
                <w:szCs w:val="18"/>
              </w:rPr>
              <w:t xml:space="preserve">тыс. </w:t>
            </w:r>
            <w:r w:rsidRPr="003E7A5E">
              <w:rPr>
                <w:sz w:val="18"/>
                <w:szCs w:val="18"/>
              </w:rPr>
              <w:t>руб.</w:t>
            </w:r>
          </w:p>
        </w:tc>
        <w:tc>
          <w:tcPr>
            <w:tcW w:w="1537" w:type="pct"/>
            <w:vAlign w:val="center"/>
            <w:hideMark/>
          </w:tcPr>
          <w:p w:rsidR="00C33E4D" w:rsidRPr="003E7A5E" w:rsidRDefault="00C33E4D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Обоснование потребности</w:t>
            </w:r>
          </w:p>
        </w:tc>
      </w:tr>
      <w:tr w:rsidR="007E3C4F" w:rsidRPr="003E7A5E" w:rsidTr="007565C7">
        <w:trPr>
          <w:trHeight w:val="415"/>
        </w:trPr>
        <w:tc>
          <w:tcPr>
            <w:tcW w:w="3463" w:type="pct"/>
            <w:gridSpan w:val="4"/>
            <w:hideMark/>
          </w:tcPr>
          <w:p w:rsidR="007E3C4F" w:rsidRPr="00A80456" w:rsidRDefault="007E3C4F" w:rsidP="00311B06">
            <w:pPr>
              <w:pStyle w:val="a3"/>
              <w:rPr>
                <w:b/>
                <w:sz w:val="18"/>
                <w:szCs w:val="18"/>
              </w:rPr>
            </w:pPr>
            <w:r w:rsidRPr="00A80456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1537" w:type="pct"/>
            <w:hideMark/>
          </w:tcPr>
          <w:p w:rsidR="007E3C4F" w:rsidRPr="003E7A5E" w:rsidRDefault="007E3C4F" w:rsidP="00311B06">
            <w:pPr>
              <w:pStyle w:val="a3"/>
              <w:rPr>
                <w:color w:val="000000"/>
                <w:sz w:val="18"/>
                <w:szCs w:val="18"/>
              </w:rPr>
            </w:pPr>
            <w:r w:rsidRPr="003E7A5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1820" w:rsidRPr="003E7A5E" w:rsidTr="007565C7">
        <w:trPr>
          <w:trHeight w:val="470"/>
        </w:trPr>
        <w:tc>
          <w:tcPr>
            <w:tcW w:w="1692" w:type="pct"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C71820">
              <w:rPr>
                <w:sz w:val="18"/>
                <w:szCs w:val="18"/>
              </w:rPr>
              <w:t xml:space="preserve">МФУ </w:t>
            </w:r>
            <w:proofErr w:type="spellStart"/>
            <w:r w:rsidRPr="00C71820">
              <w:rPr>
                <w:sz w:val="18"/>
                <w:szCs w:val="18"/>
              </w:rPr>
              <w:t>Kyocera</w:t>
            </w:r>
            <w:proofErr w:type="spellEnd"/>
            <w:r w:rsidRPr="00C71820">
              <w:rPr>
                <w:sz w:val="18"/>
                <w:szCs w:val="18"/>
              </w:rPr>
              <w:t xml:space="preserve"> </w:t>
            </w:r>
            <w:proofErr w:type="spellStart"/>
            <w:r w:rsidRPr="00C71820">
              <w:rPr>
                <w:sz w:val="18"/>
                <w:szCs w:val="18"/>
              </w:rPr>
              <w:t>TASKalfa</w:t>
            </w:r>
            <w:proofErr w:type="spellEnd"/>
            <w:r w:rsidRPr="00C71820">
              <w:rPr>
                <w:sz w:val="18"/>
                <w:szCs w:val="18"/>
              </w:rPr>
              <w:t xml:space="preserve"> 3252ci </w:t>
            </w:r>
            <w:proofErr w:type="spellStart"/>
            <w:r w:rsidRPr="00C71820">
              <w:rPr>
                <w:sz w:val="18"/>
                <w:szCs w:val="18"/>
              </w:rPr>
              <w:t>c</w:t>
            </w:r>
            <w:proofErr w:type="spellEnd"/>
            <w:r w:rsidRPr="00C71820">
              <w:rPr>
                <w:sz w:val="18"/>
                <w:szCs w:val="18"/>
              </w:rPr>
              <w:t xml:space="preserve"> дополнительным комплектом картриджей</w:t>
            </w:r>
          </w:p>
        </w:tc>
        <w:tc>
          <w:tcPr>
            <w:tcW w:w="586" w:type="pct"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667" w:type="pct"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8" w:type="pct"/>
            <w:noWrap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C71820" w:rsidRPr="003E7A5E" w:rsidRDefault="00C629F4" w:rsidP="00311B06">
            <w:pPr>
              <w:pStyle w:val="a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распечатки схем и чертежей в ОДС</w:t>
            </w:r>
          </w:p>
        </w:tc>
      </w:tr>
      <w:tr w:rsidR="00C71820" w:rsidRPr="003E7A5E" w:rsidTr="007565C7">
        <w:trPr>
          <w:trHeight w:val="600"/>
        </w:trPr>
        <w:tc>
          <w:tcPr>
            <w:tcW w:w="1692" w:type="pct"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C71820">
              <w:rPr>
                <w:sz w:val="18"/>
                <w:szCs w:val="18"/>
              </w:rPr>
              <w:t xml:space="preserve">МФУ </w:t>
            </w:r>
            <w:proofErr w:type="spellStart"/>
            <w:r w:rsidRPr="00C71820">
              <w:rPr>
                <w:sz w:val="18"/>
                <w:szCs w:val="18"/>
              </w:rPr>
              <w:t>Kyocera</w:t>
            </w:r>
            <w:proofErr w:type="spellEnd"/>
            <w:r w:rsidRPr="00C71820">
              <w:rPr>
                <w:sz w:val="18"/>
                <w:szCs w:val="18"/>
              </w:rPr>
              <w:t xml:space="preserve"> МF-6530MFP  </w:t>
            </w:r>
            <w:proofErr w:type="spellStart"/>
            <w:r w:rsidRPr="00C71820">
              <w:rPr>
                <w:sz w:val="18"/>
                <w:szCs w:val="18"/>
              </w:rPr>
              <w:t>c</w:t>
            </w:r>
            <w:proofErr w:type="spellEnd"/>
            <w:r w:rsidRPr="00C71820">
              <w:rPr>
                <w:sz w:val="18"/>
                <w:szCs w:val="18"/>
              </w:rPr>
              <w:t xml:space="preserve"> дополнительным комплектом картриджей</w:t>
            </w:r>
          </w:p>
        </w:tc>
        <w:tc>
          <w:tcPr>
            <w:tcW w:w="586" w:type="pct"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667" w:type="pct"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8" w:type="pct"/>
            <w:noWrap/>
            <w:vAlign w:val="center"/>
            <w:hideMark/>
          </w:tcPr>
          <w:p w:rsidR="00C71820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C71820" w:rsidRPr="003E7A5E" w:rsidRDefault="00C629F4" w:rsidP="00311B06">
            <w:pPr>
              <w:pStyle w:val="a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Взамен устаревшего МФУ в ОРК для общего пользования УТЭ</w:t>
            </w:r>
            <w:proofErr w:type="gramEnd"/>
          </w:p>
        </w:tc>
      </w:tr>
      <w:tr w:rsidR="007E3C4F" w:rsidRPr="003E7A5E" w:rsidTr="007565C7">
        <w:trPr>
          <w:trHeight w:val="510"/>
        </w:trPr>
        <w:tc>
          <w:tcPr>
            <w:tcW w:w="1692" w:type="pct"/>
            <w:hideMark/>
          </w:tcPr>
          <w:p w:rsidR="007E3C4F" w:rsidRPr="003E7A5E" w:rsidRDefault="007E3C4F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Итого:</w:t>
            </w:r>
          </w:p>
        </w:tc>
        <w:tc>
          <w:tcPr>
            <w:tcW w:w="586" w:type="pct"/>
            <w:vAlign w:val="center"/>
            <w:hideMark/>
          </w:tcPr>
          <w:p w:rsidR="007E3C4F" w:rsidRPr="003E7A5E" w:rsidRDefault="007E3C4F" w:rsidP="00C33E4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vAlign w:val="center"/>
            <w:hideMark/>
          </w:tcPr>
          <w:p w:rsidR="007E3C4F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pct"/>
            <w:noWrap/>
            <w:vAlign w:val="center"/>
            <w:hideMark/>
          </w:tcPr>
          <w:p w:rsidR="007E3C4F" w:rsidRPr="003E7A5E" w:rsidRDefault="00C71820" w:rsidP="00C33E4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7E3C4F" w:rsidRPr="003E7A5E" w:rsidRDefault="007E3C4F" w:rsidP="00311B06">
            <w:pPr>
              <w:pStyle w:val="a3"/>
              <w:rPr>
                <w:color w:val="000000"/>
                <w:sz w:val="18"/>
                <w:szCs w:val="18"/>
              </w:rPr>
            </w:pPr>
            <w:r w:rsidRPr="003E7A5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11B06" w:rsidRPr="003E7A5E" w:rsidRDefault="00001688" w:rsidP="00001688">
      <w:pPr>
        <w:spacing w:line="240" w:lineRule="exact"/>
        <w:ind w:left="142" w:hanging="141"/>
        <w:jc w:val="both"/>
      </w:pPr>
      <w:r w:rsidRPr="003E7A5E">
        <w:t xml:space="preserve">         </w:t>
      </w:r>
    </w:p>
    <w:p w:rsidR="00D73048" w:rsidRPr="003E7A5E" w:rsidRDefault="00D73048" w:rsidP="00001688">
      <w:pPr>
        <w:spacing w:line="240" w:lineRule="exact"/>
        <w:ind w:left="142" w:hanging="141"/>
        <w:jc w:val="both"/>
      </w:pPr>
    </w:p>
    <w:tbl>
      <w:tblPr>
        <w:tblStyle w:val="a8"/>
        <w:tblW w:w="5000" w:type="pct"/>
        <w:tblLook w:val="04A0"/>
      </w:tblPr>
      <w:tblGrid>
        <w:gridCol w:w="1381"/>
        <w:gridCol w:w="1769"/>
        <w:gridCol w:w="787"/>
        <w:gridCol w:w="771"/>
        <w:gridCol w:w="930"/>
        <w:gridCol w:w="993"/>
        <w:gridCol w:w="2940"/>
      </w:tblGrid>
      <w:tr w:rsidR="00311B06" w:rsidRPr="003E7A5E" w:rsidTr="007565C7">
        <w:trPr>
          <w:trHeight w:val="460"/>
        </w:trPr>
        <w:tc>
          <w:tcPr>
            <w:tcW w:w="3463" w:type="pct"/>
            <w:gridSpan w:val="6"/>
            <w:hideMark/>
          </w:tcPr>
          <w:p w:rsidR="00311B06" w:rsidRPr="003E7A5E" w:rsidRDefault="00311B06" w:rsidP="00311B06">
            <w:pPr>
              <w:pStyle w:val="a3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1537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 </w:t>
            </w:r>
          </w:p>
        </w:tc>
      </w:tr>
      <w:tr w:rsidR="00311B06" w:rsidRPr="003E7A5E" w:rsidTr="007565C7">
        <w:trPr>
          <w:trHeight w:val="1261"/>
        </w:trPr>
        <w:tc>
          <w:tcPr>
            <w:tcW w:w="1645" w:type="pct"/>
            <w:gridSpan w:val="2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Сервер HP </w:t>
            </w:r>
            <w:proofErr w:type="spellStart"/>
            <w:r w:rsidRPr="003E7A5E">
              <w:rPr>
                <w:sz w:val="18"/>
                <w:szCs w:val="18"/>
              </w:rPr>
              <w:t>Proliant</w:t>
            </w:r>
            <w:proofErr w:type="spellEnd"/>
            <w:r w:rsidRPr="003E7A5E">
              <w:rPr>
                <w:sz w:val="18"/>
                <w:szCs w:val="18"/>
              </w:rPr>
              <w:t xml:space="preserve"> DL180 Gen9 </w:t>
            </w:r>
            <w:proofErr w:type="spellStart"/>
            <w:r w:rsidRPr="003E7A5E">
              <w:rPr>
                <w:sz w:val="18"/>
                <w:szCs w:val="18"/>
              </w:rPr>
              <w:t>Rack</w:t>
            </w:r>
            <w:proofErr w:type="spellEnd"/>
            <w:r w:rsidRPr="003E7A5E">
              <w:rPr>
                <w:sz w:val="18"/>
                <w:szCs w:val="18"/>
              </w:rPr>
              <w:t xml:space="preserve"> (2U)/ 2xXeon8C E5-2630v3/ 32Gb/ P840FBWC 4GB/ </w:t>
            </w:r>
            <w:proofErr w:type="spellStart"/>
            <w:r w:rsidRPr="003E7A5E">
              <w:rPr>
                <w:sz w:val="18"/>
                <w:szCs w:val="18"/>
              </w:rPr>
              <w:t>noHDD</w:t>
            </w:r>
            <w:proofErr w:type="spellEnd"/>
            <w:r w:rsidRPr="003E7A5E">
              <w:rPr>
                <w:sz w:val="18"/>
                <w:szCs w:val="18"/>
              </w:rPr>
              <w:t xml:space="preserve"> (16)SFF/ </w:t>
            </w:r>
            <w:proofErr w:type="spellStart"/>
            <w:r w:rsidRPr="003E7A5E">
              <w:rPr>
                <w:sz w:val="18"/>
                <w:szCs w:val="18"/>
              </w:rPr>
              <w:t>iLOstd</w:t>
            </w:r>
            <w:proofErr w:type="spellEnd"/>
            <w:r w:rsidRPr="003E7A5E">
              <w:rPr>
                <w:sz w:val="18"/>
                <w:szCs w:val="18"/>
              </w:rPr>
              <w:t xml:space="preserve"> (</w:t>
            </w:r>
            <w:proofErr w:type="spellStart"/>
            <w:r w:rsidRPr="003E7A5E">
              <w:rPr>
                <w:sz w:val="18"/>
                <w:szCs w:val="18"/>
              </w:rPr>
              <w:t>w</w:t>
            </w:r>
            <w:proofErr w:type="spellEnd"/>
            <w:r w:rsidRPr="003E7A5E">
              <w:rPr>
                <w:sz w:val="18"/>
                <w:szCs w:val="18"/>
              </w:rPr>
              <w:t xml:space="preserve">/ </w:t>
            </w:r>
            <w:proofErr w:type="spellStart"/>
            <w:r w:rsidRPr="003E7A5E">
              <w:rPr>
                <w:sz w:val="18"/>
                <w:szCs w:val="18"/>
              </w:rPr>
              <w:t>o</w:t>
            </w:r>
            <w:proofErr w:type="spellEnd"/>
            <w:r w:rsidRPr="003E7A5E">
              <w:rPr>
                <w:sz w:val="18"/>
                <w:szCs w:val="18"/>
              </w:rPr>
              <w:t xml:space="preserve"> </w:t>
            </w:r>
            <w:proofErr w:type="spellStart"/>
            <w:r w:rsidRPr="003E7A5E">
              <w:rPr>
                <w:sz w:val="18"/>
                <w:szCs w:val="18"/>
              </w:rPr>
              <w:t>port</w:t>
            </w:r>
            <w:proofErr w:type="spellEnd"/>
            <w:r w:rsidRPr="003E7A5E">
              <w:rPr>
                <w:sz w:val="18"/>
                <w:szCs w:val="18"/>
              </w:rPr>
              <w:t xml:space="preserve">)/ 2x1GbEth/ </w:t>
            </w:r>
            <w:proofErr w:type="spellStart"/>
            <w:r w:rsidRPr="003E7A5E">
              <w:rPr>
                <w:sz w:val="18"/>
                <w:szCs w:val="18"/>
              </w:rPr>
              <w:t>EasyRK&amp;CMA</w:t>
            </w:r>
            <w:proofErr w:type="spellEnd"/>
            <w:r w:rsidRPr="003E7A5E">
              <w:rPr>
                <w:sz w:val="18"/>
                <w:szCs w:val="18"/>
              </w:rPr>
              <w:t>/ 2x900W (RPS) (778457-B21)</w:t>
            </w:r>
          </w:p>
        </w:tc>
        <w:tc>
          <w:tcPr>
            <w:tcW w:w="814" w:type="pct"/>
            <w:gridSpan w:val="2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486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для замены устаревшего серверного оборудования</w:t>
            </w:r>
          </w:p>
        </w:tc>
      </w:tr>
      <w:tr w:rsidR="00311B06" w:rsidRPr="003E7A5E" w:rsidTr="007565C7">
        <w:trPr>
          <w:trHeight w:val="839"/>
        </w:trPr>
        <w:tc>
          <w:tcPr>
            <w:tcW w:w="1645" w:type="pct"/>
            <w:gridSpan w:val="2"/>
            <w:hideMark/>
          </w:tcPr>
          <w:p w:rsidR="00A80456" w:rsidRDefault="00A80456" w:rsidP="00311B06">
            <w:pPr>
              <w:pStyle w:val="a3"/>
              <w:rPr>
                <w:sz w:val="18"/>
                <w:szCs w:val="18"/>
              </w:rPr>
            </w:pPr>
          </w:p>
          <w:p w:rsidR="00311B06" w:rsidRPr="007565C7" w:rsidRDefault="00311B06" w:rsidP="00311B06">
            <w:pPr>
              <w:pStyle w:val="a3"/>
              <w:rPr>
                <w:sz w:val="18"/>
                <w:szCs w:val="18"/>
                <w:lang w:val="en-US"/>
              </w:rPr>
            </w:pPr>
            <w:r w:rsidRPr="003E7A5E">
              <w:rPr>
                <w:sz w:val="18"/>
                <w:szCs w:val="18"/>
              </w:rPr>
              <w:t>Жесткий</w:t>
            </w:r>
            <w:r w:rsidRPr="003E7A5E">
              <w:rPr>
                <w:sz w:val="18"/>
                <w:szCs w:val="18"/>
                <w:lang w:val="en-US"/>
              </w:rPr>
              <w:t xml:space="preserve"> </w:t>
            </w:r>
            <w:r w:rsidRPr="003E7A5E">
              <w:rPr>
                <w:sz w:val="18"/>
                <w:szCs w:val="18"/>
              </w:rPr>
              <w:t>диск</w:t>
            </w:r>
            <w:r w:rsidRPr="003E7A5E">
              <w:rPr>
                <w:sz w:val="18"/>
                <w:szCs w:val="18"/>
                <w:lang w:val="en-US"/>
              </w:rPr>
              <w:t xml:space="preserve"> HP 600GB 2,5" (SFF) SAS 15K 12G Hot Plug w Smart Drive SC 512e Enterprise HDD (748387-B21)</w:t>
            </w:r>
          </w:p>
          <w:p w:rsidR="00A80456" w:rsidRPr="007565C7" w:rsidRDefault="00A80456" w:rsidP="00311B06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814" w:type="pct"/>
            <w:gridSpan w:val="2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486" w:type="pct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9" w:type="pct"/>
            <w:noWrap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для замены устаревшего серверного оборудования</w:t>
            </w:r>
          </w:p>
        </w:tc>
      </w:tr>
      <w:tr w:rsidR="00311B06" w:rsidRPr="003E7A5E" w:rsidTr="007565C7">
        <w:trPr>
          <w:trHeight w:val="750"/>
        </w:trPr>
        <w:tc>
          <w:tcPr>
            <w:tcW w:w="721" w:type="pct"/>
            <w:vMerge w:val="restar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lastRenderedPageBreak/>
              <w:t>Компьютер в сборе</w:t>
            </w: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24" Монитор </w:t>
            </w:r>
            <w:proofErr w:type="spellStart"/>
            <w:r w:rsidRPr="003E7A5E">
              <w:rPr>
                <w:sz w:val="18"/>
                <w:szCs w:val="18"/>
              </w:rPr>
              <w:t>Samsung</w:t>
            </w:r>
            <w:proofErr w:type="spellEnd"/>
            <w:r w:rsidRPr="003E7A5E">
              <w:rPr>
                <w:sz w:val="18"/>
                <w:szCs w:val="18"/>
              </w:rPr>
              <w:t xml:space="preserve"> S24D300H черный</w:t>
            </w:r>
          </w:p>
        </w:tc>
        <w:tc>
          <w:tcPr>
            <w:tcW w:w="411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14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403" w:type="pct"/>
            <w:vMerge w:val="restart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86" w:type="pct"/>
            <w:vMerge w:val="restar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25</w:t>
            </w:r>
          </w:p>
        </w:tc>
        <w:tc>
          <w:tcPr>
            <w:tcW w:w="519" w:type="pct"/>
            <w:vMerge w:val="restart"/>
            <w:noWrap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vMerge w:val="restart"/>
            <w:vAlign w:val="center"/>
            <w:hideMark/>
          </w:tcPr>
          <w:p w:rsidR="00311B06" w:rsidRPr="003E7A5E" w:rsidRDefault="00DE0979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color w:val="000000"/>
                <w:sz w:val="18"/>
                <w:szCs w:val="18"/>
              </w:rPr>
              <w:t>Замена устаревшего парка ЭВМ на соответствующие требованиям действительности более производительные и организации новых рабочих мест</w:t>
            </w:r>
          </w:p>
        </w:tc>
      </w:tr>
      <w:tr w:rsidR="00311B06" w:rsidRPr="003E7A5E" w:rsidTr="007565C7">
        <w:trPr>
          <w:trHeight w:val="375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Системный блок: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311B06" w:rsidRPr="003E7A5E" w:rsidRDefault="00311B06" w:rsidP="00C33E4D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54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750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Модель процессора </w:t>
            </w:r>
            <w:proofErr w:type="spellStart"/>
            <w:r w:rsidRPr="003E7A5E">
              <w:rPr>
                <w:sz w:val="18"/>
                <w:szCs w:val="18"/>
              </w:rPr>
              <w:t>Intel</w:t>
            </w:r>
            <w:proofErr w:type="spellEnd"/>
            <w:r w:rsidRPr="003E7A5E">
              <w:rPr>
                <w:sz w:val="18"/>
                <w:szCs w:val="18"/>
              </w:rPr>
              <w:t xml:space="preserve"> </w:t>
            </w:r>
            <w:proofErr w:type="spellStart"/>
            <w:r w:rsidRPr="003E7A5E">
              <w:rPr>
                <w:sz w:val="18"/>
                <w:szCs w:val="18"/>
              </w:rPr>
              <w:t>Core</w:t>
            </w:r>
            <w:proofErr w:type="spellEnd"/>
            <w:r w:rsidRPr="003E7A5E">
              <w:rPr>
                <w:sz w:val="18"/>
                <w:szCs w:val="18"/>
              </w:rPr>
              <w:t xml:space="preserve"> i5 3,2 ГГц</w:t>
            </w:r>
          </w:p>
        </w:tc>
        <w:tc>
          <w:tcPr>
            <w:tcW w:w="41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375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Количество ядер 4</w:t>
            </w:r>
          </w:p>
        </w:tc>
        <w:tc>
          <w:tcPr>
            <w:tcW w:w="41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750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Размер оперативной памяти 8 ГБ</w:t>
            </w:r>
          </w:p>
        </w:tc>
        <w:tc>
          <w:tcPr>
            <w:tcW w:w="41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375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HDD 1ТБ</w:t>
            </w:r>
          </w:p>
        </w:tc>
        <w:tc>
          <w:tcPr>
            <w:tcW w:w="41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1125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Модель дискретной видеокарты NVIDEA </w:t>
            </w:r>
            <w:proofErr w:type="spellStart"/>
            <w:r w:rsidRPr="003E7A5E">
              <w:rPr>
                <w:sz w:val="18"/>
                <w:szCs w:val="18"/>
              </w:rPr>
              <w:t>Geforce</w:t>
            </w:r>
            <w:proofErr w:type="spellEnd"/>
            <w:r w:rsidRPr="003E7A5E">
              <w:rPr>
                <w:sz w:val="18"/>
                <w:szCs w:val="18"/>
              </w:rPr>
              <w:t xml:space="preserve"> GTX 750 1 ГБ</w:t>
            </w:r>
          </w:p>
        </w:tc>
        <w:tc>
          <w:tcPr>
            <w:tcW w:w="41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750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Оптический привод DVD RW</w:t>
            </w:r>
          </w:p>
        </w:tc>
        <w:tc>
          <w:tcPr>
            <w:tcW w:w="41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750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Сетевой фильтр </w:t>
            </w:r>
            <w:proofErr w:type="spellStart"/>
            <w:r w:rsidRPr="003E7A5E">
              <w:rPr>
                <w:sz w:val="18"/>
                <w:szCs w:val="18"/>
              </w:rPr>
              <w:t>Defender</w:t>
            </w:r>
            <w:proofErr w:type="spellEnd"/>
            <w:r w:rsidRPr="003E7A5E">
              <w:rPr>
                <w:sz w:val="18"/>
                <w:szCs w:val="18"/>
              </w:rPr>
              <w:t xml:space="preserve"> DFS 155 черный</w:t>
            </w:r>
          </w:p>
        </w:tc>
        <w:tc>
          <w:tcPr>
            <w:tcW w:w="411" w:type="pct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  <w:r w:rsidR="0046784D">
              <w:rPr>
                <w:sz w:val="18"/>
                <w:szCs w:val="18"/>
              </w:rPr>
              <w:t>,</w:t>
            </w:r>
            <w:r w:rsidRPr="003E7A5E">
              <w:rPr>
                <w:sz w:val="18"/>
                <w:szCs w:val="18"/>
              </w:rPr>
              <w:t xml:space="preserve"> 03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750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Мышь проводная </w:t>
            </w:r>
            <w:proofErr w:type="spellStart"/>
            <w:r w:rsidRPr="003E7A5E">
              <w:rPr>
                <w:sz w:val="18"/>
                <w:szCs w:val="18"/>
              </w:rPr>
              <w:t>Genius</w:t>
            </w:r>
            <w:proofErr w:type="spellEnd"/>
            <w:r w:rsidRPr="003E7A5E">
              <w:rPr>
                <w:sz w:val="18"/>
                <w:szCs w:val="18"/>
              </w:rPr>
              <w:t xml:space="preserve"> DX-100</w:t>
            </w:r>
          </w:p>
        </w:tc>
        <w:tc>
          <w:tcPr>
            <w:tcW w:w="411" w:type="pct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375"/>
        </w:trPr>
        <w:tc>
          <w:tcPr>
            <w:tcW w:w="721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23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Клавиатура </w:t>
            </w:r>
            <w:proofErr w:type="spellStart"/>
            <w:r w:rsidRPr="003E7A5E">
              <w:rPr>
                <w:sz w:val="18"/>
                <w:szCs w:val="18"/>
              </w:rPr>
              <w:t>Genius</w:t>
            </w:r>
            <w:proofErr w:type="spellEnd"/>
            <w:r w:rsidRPr="003E7A5E">
              <w:rPr>
                <w:sz w:val="18"/>
                <w:szCs w:val="18"/>
              </w:rPr>
              <w:t xml:space="preserve"> KB-110</w:t>
            </w:r>
          </w:p>
        </w:tc>
        <w:tc>
          <w:tcPr>
            <w:tcW w:w="411" w:type="pct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0,902</w:t>
            </w:r>
          </w:p>
        </w:tc>
        <w:tc>
          <w:tcPr>
            <w:tcW w:w="403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19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443"/>
        </w:trPr>
        <w:tc>
          <w:tcPr>
            <w:tcW w:w="1645" w:type="pct"/>
            <w:gridSpan w:val="2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color w:val="323232"/>
                <w:sz w:val="18"/>
                <w:szCs w:val="18"/>
                <w:lang w:val="en-US"/>
              </w:rPr>
            </w:pPr>
            <w:r w:rsidRPr="003E7A5E">
              <w:rPr>
                <w:color w:val="323232"/>
                <w:sz w:val="18"/>
                <w:szCs w:val="18"/>
                <w:lang w:val="en-US"/>
              </w:rPr>
              <w:t xml:space="preserve">IP </w:t>
            </w:r>
            <w:r w:rsidRPr="003E7A5E">
              <w:rPr>
                <w:color w:val="323232"/>
                <w:sz w:val="18"/>
                <w:szCs w:val="18"/>
              </w:rPr>
              <w:t>АТС</w:t>
            </w:r>
            <w:r w:rsidRPr="003E7A5E">
              <w:rPr>
                <w:color w:val="32323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A5E">
              <w:rPr>
                <w:color w:val="323232"/>
                <w:sz w:val="18"/>
                <w:szCs w:val="18"/>
                <w:lang w:val="en-US"/>
              </w:rPr>
              <w:t>Yeastar</w:t>
            </w:r>
            <w:proofErr w:type="spellEnd"/>
            <w:r w:rsidRPr="003E7A5E">
              <w:rPr>
                <w:color w:val="32323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7A5E">
              <w:rPr>
                <w:color w:val="323232"/>
                <w:sz w:val="18"/>
                <w:szCs w:val="18"/>
                <w:lang w:val="en-US"/>
              </w:rPr>
              <w:t>MyPBX</w:t>
            </w:r>
            <w:proofErr w:type="spellEnd"/>
            <w:r w:rsidRPr="003E7A5E">
              <w:rPr>
                <w:color w:val="323232"/>
                <w:sz w:val="18"/>
                <w:szCs w:val="18"/>
                <w:lang w:val="en-US"/>
              </w:rPr>
              <w:t xml:space="preserve"> U200</w:t>
            </w:r>
          </w:p>
        </w:tc>
        <w:tc>
          <w:tcPr>
            <w:tcW w:w="814" w:type="pct"/>
            <w:gridSpan w:val="2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86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519" w:type="pct"/>
            <w:noWrap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  <w:r w:rsidR="0046784D">
              <w:rPr>
                <w:sz w:val="18"/>
                <w:szCs w:val="18"/>
              </w:rPr>
              <w:t>60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vMerge w:val="restar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для организации IP-телефонии для экономии денежных средств на телефонных переговорах</w:t>
            </w:r>
          </w:p>
        </w:tc>
      </w:tr>
      <w:tr w:rsidR="00311B06" w:rsidRPr="003E7A5E" w:rsidTr="007565C7">
        <w:trPr>
          <w:trHeight w:val="510"/>
        </w:trPr>
        <w:tc>
          <w:tcPr>
            <w:tcW w:w="1645" w:type="pct"/>
            <w:gridSpan w:val="2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 xml:space="preserve">VOIP шлюз </w:t>
            </w:r>
            <w:proofErr w:type="spellStart"/>
            <w:r w:rsidRPr="003E7A5E">
              <w:rPr>
                <w:color w:val="323232"/>
                <w:sz w:val="18"/>
                <w:szCs w:val="18"/>
              </w:rPr>
              <w:t>Yeastar</w:t>
            </w:r>
            <w:proofErr w:type="spellEnd"/>
            <w:r w:rsidRPr="003E7A5E">
              <w:rPr>
                <w:color w:val="323232"/>
                <w:sz w:val="18"/>
                <w:szCs w:val="18"/>
              </w:rPr>
              <w:t xml:space="preserve"> TA3200</w:t>
            </w:r>
          </w:p>
        </w:tc>
        <w:tc>
          <w:tcPr>
            <w:tcW w:w="814" w:type="pct"/>
            <w:gridSpan w:val="2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486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2</w:t>
            </w:r>
          </w:p>
        </w:tc>
        <w:tc>
          <w:tcPr>
            <w:tcW w:w="519" w:type="pct"/>
            <w:noWrap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390"/>
        </w:trPr>
        <w:tc>
          <w:tcPr>
            <w:tcW w:w="1645" w:type="pct"/>
            <w:gridSpan w:val="2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Итого:</w:t>
            </w:r>
          </w:p>
        </w:tc>
        <w:tc>
          <w:tcPr>
            <w:tcW w:w="814" w:type="pct"/>
            <w:gridSpan w:val="2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19" w:type="pct"/>
            <w:noWrap/>
            <w:vAlign w:val="center"/>
            <w:hideMark/>
          </w:tcPr>
          <w:p w:rsidR="00311B06" w:rsidRPr="003E7A5E" w:rsidRDefault="00AE1B9F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565C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727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 </w:t>
            </w:r>
          </w:p>
        </w:tc>
      </w:tr>
    </w:tbl>
    <w:p w:rsidR="00311B06" w:rsidRPr="003E7A5E" w:rsidRDefault="00311B06" w:rsidP="00001688">
      <w:pPr>
        <w:spacing w:line="240" w:lineRule="exact"/>
        <w:ind w:left="142" w:hanging="141"/>
        <w:jc w:val="both"/>
      </w:pPr>
    </w:p>
    <w:p w:rsidR="00B575F2" w:rsidRPr="003E7A5E" w:rsidRDefault="00B575F2" w:rsidP="00001688">
      <w:pPr>
        <w:spacing w:line="240" w:lineRule="exact"/>
        <w:ind w:left="142" w:hanging="141"/>
        <w:jc w:val="both"/>
      </w:pPr>
    </w:p>
    <w:tbl>
      <w:tblPr>
        <w:tblStyle w:val="a8"/>
        <w:tblW w:w="5000" w:type="pct"/>
        <w:tblLook w:val="04A0"/>
      </w:tblPr>
      <w:tblGrid>
        <w:gridCol w:w="3053"/>
        <w:gridCol w:w="1732"/>
        <w:gridCol w:w="852"/>
        <w:gridCol w:w="992"/>
        <w:gridCol w:w="2942"/>
      </w:tblGrid>
      <w:tr w:rsidR="00311B06" w:rsidRPr="003E7A5E" w:rsidTr="007565C7">
        <w:trPr>
          <w:trHeight w:val="215"/>
        </w:trPr>
        <w:tc>
          <w:tcPr>
            <w:tcW w:w="3463" w:type="pct"/>
            <w:gridSpan w:val="4"/>
            <w:hideMark/>
          </w:tcPr>
          <w:p w:rsidR="00311B06" w:rsidRPr="003E7A5E" w:rsidRDefault="00311B06" w:rsidP="00311B06">
            <w:pPr>
              <w:pStyle w:val="a3"/>
              <w:rPr>
                <w:b/>
                <w:sz w:val="18"/>
                <w:szCs w:val="18"/>
              </w:rPr>
            </w:pPr>
            <w:r w:rsidRPr="003E7A5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537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 </w:t>
            </w:r>
          </w:p>
        </w:tc>
      </w:tr>
      <w:tr w:rsidR="00311B06" w:rsidRPr="003E7A5E" w:rsidTr="007565C7">
        <w:trPr>
          <w:trHeight w:val="855"/>
        </w:trPr>
        <w:tc>
          <w:tcPr>
            <w:tcW w:w="1595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  <w:lang w:val="en-US"/>
              </w:rPr>
            </w:pPr>
            <w:proofErr w:type="gramStart"/>
            <w:r w:rsidRPr="003E7A5E">
              <w:rPr>
                <w:sz w:val="18"/>
                <w:szCs w:val="18"/>
              </w:rPr>
              <w:t>Дисковый</w:t>
            </w:r>
            <w:r w:rsidRPr="003E7A5E">
              <w:rPr>
                <w:sz w:val="18"/>
                <w:szCs w:val="18"/>
                <w:lang w:val="en-US"/>
              </w:rPr>
              <w:t xml:space="preserve"> </w:t>
            </w:r>
            <w:r w:rsidRPr="003E7A5E">
              <w:rPr>
                <w:sz w:val="18"/>
                <w:szCs w:val="18"/>
              </w:rPr>
              <w:t>массив</w:t>
            </w:r>
            <w:r w:rsidRPr="003E7A5E">
              <w:rPr>
                <w:sz w:val="18"/>
                <w:szCs w:val="18"/>
                <w:lang w:val="en-US"/>
              </w:rPr>
              <w:t xml:space="preserve"> HP MSA 2040 FC DC SFF Modular Smart Array System (incl. 1x2040 SFF Chassis (C8R10A) 2x2040 SAN Controller, no </w:t>
            </w:r>
            <w:proofErr w:type="spellStart"/>
            <w:r w:rsidRPr="003E7A5E">
              <w:rPr>
                <w:sz w:val="18"/>
                <w:szCs w:val="18"/>
                <w:lang w:val="en-US"/>
              </w:rPr>
              <w:t>sfp</w:t>
            </w:r>
            <w:proofErr w:type="spellEnd"/>
            <w:r w:rsidRPr="003E7A5E">
              <w:rPr>
                <w:sz w:val="18"/>
                <w:szCs w:val="18"/>
                <w:lang w:val="en-US"/>
              </w:rPr>
              <w:t>, req.</w:t>
            </w:r>
            <w:proofErr w:type="gramEnd"/>
            <w:r w:rsidRPr="003E7A5E">
              <w:rPr>
                <w:sz w:val="18"/>
                <w:szCs w:val="18"/>
                <w:lang w:val="en-US"/>
              </w:rPr>
              <w:t xml:space="preserve"> C8R23A or C8R24A) (C8R15A)</w:t>
            </w:r>
          </w:p>
        </w:tc>
        <w:tc>
          <w:tcPr>
            <w:tcW w:w="905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  <w:r w:rsidR="007565C7">
              <w:rPr>
                <w:sz w:val="18"/>
                <w:szCs w:val="18"/>
              </w:rPr>
              <w:t> </w:t>
            </w:r>
            <w:r w:rsidR="0046784D">
              <w:rPr>
                <w:sz w:val="18"/>
                <w:szCs w:val="18"/>
              </w:rPr>
              <w:t>224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445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</w:p>
        </w:tc>
        <w:tc>
          <w:tcPr>
            <w:tcW w:w="518" w:type="pct"/>
            <w:noWrap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</w:t>
            </w:r>
            <w:r w:rsidR="007565C7">
              <w:rPr>
                <w:sz w:val="18"/>
                <w:szCs w:val="18"/>
              </w:rPr>
              <w:t> </w:t>
            </w:r>
            <w:r w:rsidR="0046784D">
              <w:rPr>
                <w:sz w:val="18"/>
                <w:szCs w:val="18"/>
              </w:rPr>
              <w:t>224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vMerge w:val="restar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Для организации файлового хранилища</w:t>
            </w:r>
          </w:p>
        </w:tc>
      </w:tr>
      <w:tr w:rsidR="00311B06" w:rsidRPr="003E7A5E" w:rsidTr="007565C7">
        <w:trPr>
          <w:trHeight w:val="465"/>
        </w:trPr>
        <w:tc>
          <w:tcPr>
            <w:tcW w:w="1595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  <w:lang w:val="en-US"/>
              </w:rPr>
            </w:pPr>
            <w:r w:rsidRPr="003E7A5E">
              <w:rPr>
                <w:sz w:val="18"/>
                <w:szCs w:val="18"/>
              </w:rPr>
              <w:t>Жесткий</w:t>
            </w:r>
            <w:r w:rsidRPr="003E7A5E">
              <w:rPr>
                <w:sz w:val="18"/>
                <w:szCs w:val="18"/>
                <w:lang w:val="en-US"/>
              </w:rPr>
              <w:t xml:space="preserve"> </w:t>
            </w:r>
            <w:r w:rsidRPr="003E7A5E">
              <w:rPr>
                <w:sz w:val="18"/>
                <w:szCs w:val="18"/>
              </w:rPr>
              <w:t>диск</w:t>
            </w:r>
            <w:r w:rsidRPr="003E7A5E">
              <w:rPr>
                <w:sz w:val="18"/>
                <w:szCs w:val="18"/>
                <w:lang w:val="en-US"/>
              </w:rPr>
              <w:t xml:space="preserve"> HP 1.8TB 2,5" (SFF) SAS 15K 12G Hot Plug w Smart Drive SC 512e Enterprise HDD (791034-B21)</w:t>
            </w:r>
          </w:p>
        </w:tc>
        <w:tc>
          <w:tcPr>
            <w:tcW w:w="905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163</w:t>
            </w:r>
            <w:r w:rsidR="0046784D">
              <w:rPr>
                <w:sz w:val="18"/>
                <w:szCs w:val="18"/>
              </w:rPr>
              <w:t>, 042</w:t>
            </w:r>
          </w:p>
        </w:tc>
        <w:tc>
          <w:tcPr>
            <w:tcW w:w="445" w:type="pct"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8" w:type="pct"/>
            <w:noWrap/>
            <w:vAlign w:val="center"/>
            <w:hideMark/>
          </w:tcPr>
          <w:p w:rsidR="00311B06" w:rsidRPr="003E7A5E" w:rsidRDefault="0046784D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vMerge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</w:p>
        </w:tc>
      </w:tr>
      <w:tr w:rsidR="00311B06" w:rsidRPr="003E7A5E" w:rsidTr="007565C7">
        <w:trPr>
          <w:trHeight w:val="390"/>
        </w:trPr>
        <w:tc>
          <w:tcPr>
            <w:tcW w:w="1595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Итого:</w:t>
            </w:r>
          </w:p>
        </w:tc>
        <w:tc>
          <w:tcPr>
            <w:tcW w:w="905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pct"/>
            <w:vAlign w:val="center"/>
            <w:hideMark/>
          </w:tcPr>
          <w:p w:rsidR="00311B06" w:rsidRPr="003E7A5E" w:rsidRDefault="00311B06" w:rsidP="00A8045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noWrap/>
            <w:vAlign w:val="center"/>
            <w:hideMark/>
          </w:tcPr>
          <w:p w:rsidR="00311B06" w:rsidRPr="003E7A5E" w:rsidRDefault="00AE1B9F" w:rsidP="00A8045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565C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226</w:t>
            </w:r>
            <w:r w:rsidR="007565C7">
              <w:rPr>
                <w:sz w:val="18"/>
                <w:szCs w:val="18"/>
              </w:rPr>
              <w:t>,0</w:t>
            </w:r>
          </w:p>
        </w:tc>
        <w:tc>
          <w:tcPr>
            <w:tcW w:w="1537" w:type="pct"/>
            <w:hideMark/>
          </w:tcPr>
          <w:p w:rsidR="00311B06" w:rsidRPr="003E7A5E" w:rsidRDefault="00311B06" w:rsidP="00311B06">
            <w:pPr>
              <w:pStyle w:val="a3"/>
              <w:rPr>
                <w:sz w:val="18"/>
                <w:szCs w:val="18"/>
              </w:rPr>
            </w:pPr>
            <w:r w:rsidRPr="003E7A5E">
              <w:rPr>
                <w:sz w:val="18"/>
                <w:szCs w:val="18"/>
              </w:rPr>
              <w:t> </w:t>
            </w:r>
          </w:p>
        </w:tc>
      </w:tr>
    </w:tbl>
    <w:p w:rsidR="00E047CE" w:rsidRDefault="00E047CE" w:rsidP="00E047CE">
      <w:pPr>
        <w:pStyle w:val="a3"/>
        <w:ind w:left="720"/>
        <w:rPr>
          <w:b/>
        </w:rPr>
      </w:pPr>
    </w:p>
    <w:p w:rsidR="00A80456" w:rsidRDefault="00A80456" w:rsidP="008D3314">
      <w:pPr>
        <w:pStyle w:val="a3"/>
        <w:ind w:left="720"/>
        <w:rPr>
          <w:b/>
          <w:sz w:val="28"/>
          <w:szCs w:val="28"/>
          <w:u w:val="single"/>
        </w:rPr>
      </w:pPr>
    </w:p>
    <w:tbl>
      <w:tblPr>
        <w:tblW w:w="4108" w:type="dxa"/>
        <w:tblLook w:val="04A0"/>
      </w:tblPr>
      <w:tblGrid>
        <w:gridCol w:w="4108"/>
      </w:tblGrid>
      <w:tr w:rsidR="007565C7" w:rsidRPr="003E7A5E" w:rsidTr="007565C7">
        <w:trPr>
          <w:trHeight w:val="1208"/>
        </w:trPr>
        <w:tc>
          <w:tcPr>
            <w:tcW w:w="4108" w:type="dxa"/>
          </w:tcPr>
          <w:p w:rsidR="007565C7" w:rsidRPr="003E7A5E" w:rsidRDefault="007565C7" w:rsidP="00A80456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7565C7" w:rsidRDefault="007565C7" w:rsidP="00A80456">
            <w:pPr>
              <w:spacing w:line="240" w:lineRule="exact"/>
              <w:rPr>
                <w:rFonts w:eastAsiaTheme="minorHAnsi"/>
                <w:color w:val="595959" w:themeColor="text1" w:themeTint="A6"/>
              </w:rPr>
            </w:pPr>
            <w:r w:rsidRPr="00A24220">
              <w:rPr>
                <w:rFonts w:eastAsiaTheme="minorHAnsi"/>
                <w:color w:val="595959" w:themeColor="text1" w:themeTint="A6"/>
              </w:rPr>
              <w:t>Раздел ИП:</w:t>
            </w:r>
            <w:r>
              <w:rPr>
                <w:rFonts w:eastAsiaTheme="minorHAnsi"/>
                <w:color w:val="595959" w:themeColor="text1" w:themeTint="A6"/>
              </w:rPr>
              <w:t xml:space="preserve"> </w:t>
            </w:r>
          </w:p>
          <w:p w:rsidR="007565C7" w:rsidRDefault="007565C7" w:rsidP="00A80456">
            <w:pPr>
              <w:spacing w:line="240" w:lineRule="exact"/>
              <w:rPr>
                <w:rFonts w:eastAsiaTheme="minorHAnsi"/>
                <w:b/>
              </w:rPr>
            </w:pPr>
            <w:r w:rsidRPr="00A24220">
              <w:rPr>
                <w:rFonts w:eastAsiaTheme="minorHAnsi"/>
                <w:b/>
              </w:rPr>
              <w:t xml:space="preserve">«Приобретение </w:t>
            </w:r>
            <w:r>
              <w:rPr>
                <w:rFonts w:eastAsiaTheme="minorHAnsi"/>
                <w:b/>
              </w:rPr>
              <w:t xml:space="preserve">зданий, </w:t>
            </w:r>
          </w:p>
          <w:p w:rsidR="007565C7" w:rsidRPr="00A24220" w:rsidRDefault="007565C7" w:rsidP="00A80456">
            <w:pPr>
              <w:spacing w:line="240" w:lineRule="exact"/>
              <w:rPr>
                <w:rFonts w:eastAsiaTheme="minorHAnsi"/>
                <w:b/>
                <w:color w:val="595959" w:themeColor="text1" w:themeTint="A6"/>
              </w:rPr>
            </w:pPr>
            <w:r>
              <w:rPr>
                <w:rFonts w:eastAsiaTheme="minorHAnsi"/>
                <w:b/>
              </w:rPr>
              <w:t>участков и сооружений</w:t>
            </w:r>
            <w:r w:rsidRPr="00A24220">
              <w:rPr>
                <w:rFonts w:eastAsiaTheme="minorHAnsi"/>
                <w:b/>
              </w:rPr>
              <w:t>»</w:t>
            </w:r>
          </w:p>
        </w:tc>
      </w:tr>
    </w:tbl>
    <w:p w:rsidR="0090558A" w:rsidRDefault="008D3314" w:rsidP="00A80456">
      <w:pPr>
        <w:pStyle w:val="a3"/>
        <w:ind w:firstLine="709"/>
        <w:jc w:val="both"/>
      </w:pPr>
      <w:r w:rsidRPr="005E7809">
        <w:t>В 2018 году предусмотрены затраты на приобретение земельных участков на</w:t>
      </w:r>
      <w:r w:rsidR="005E7809">
        <w:t>ходящиеся в муниципальной собственности в размере 62 тыс</w:t>
      </w:r>
      <w:proofErr w:type="gramStart"/>
      <w:r w:rsidR="005E7809">
        <w:t>.р</w:t>
      </w:r>
      <w:proofErr w:type="gramEnd"/>
      <w:r w:rsidR="005E7809">
        <w:t>уб.</w:t>
      </w:r>
      <w:r w:rsidR="0090558A">
        <w:t xml:space="preserve"> под </w:t>
      </w:r>
      <w:proofErr w:type="spellStart"/>
      <w:r w:rsidR="0090558A">
        <w:t>энергопринимающие</w:t>
      </w:r>
      <w:proofErr w:type="spellEnd"/>
      <w:r w:rsidR="0090558A">
        <w:t xml:space="preserve"> устройства являющиеся собственностью АО «УСК»:</w:t>
      </w:r>
    </w:p>
    <w:p w:rsidR="00A80456" w:rsidRDefault="00A80456" w:rsidP="00A80456">
      <w:pPr>
        <w:pStyle w:val="a3"/>
        <w:ind w:firstLine="709"/>
        <w:jc w:val="both"/>
      </w:pPr>
    </w:p>
    <w:p w:rsidR="0090558A" w:rsidRDefault="0090558A" w:rsidP="00A80456">
      <w:pPr>
        <w:pStyle w:val="a3"/>
        <w:ind w:firstLine="709"/>
        <w:jc w:val="both"/>
      </w:pPr>
      <w:r>
        <w:t>- ЗТП-12 в р.п</w:t>
      </w:r>
      <w:proofErr w:type="gramStart"/>
      <w:r>
        <w:t>.Ч</w:t>
      </w:r>
      <w:proofErr w:type="gramEnd"/>
      <w:r>
        <w:t>ердаклы, ул.Колхозная,11В;</w:t>
      </w:r>
    </w:p>
    <w:p w:rsidR="0090558A" w:rsidRDefault="0090558A" w:rsidP="00A80456">
      <w:pPr>
        <w:pStyle w:val="a3"/>
        <w:ind w:firstLine="709"/>
        <w:jc w:val="both"/>
      </w:pPr>
      <w:r>
        <w:t>- ЗТП-7  в р.п</w:t>
      </w:r>
      <w:proofErr w:type="gramStart"/>
      <w:r>
        <w:t>.М</w:t>
      </w:r>
      <w:proofErr w:type="gramEnd"/>
      <w:r>
        <w:t>ирный, ул.Димитровградская,61В.</w:t>
      </w:r>
    </w:p>
    <w:p w:rsidR="00A80456" w:rsidRDefault="00A80456" w:rsidP="00A80456">
      <w:pPr>
        <w:pStyle w:val="a3"/>
        <w:ind w:firstLine="709"/>
        <w:jc w:val="both"/>
      </w:pPr>
    </w:p>
    <w:p w:rsidR="0090558A" w:rsidRDefault="0090558A" w:rsidP="00A80456">
      <w:pPr>
        <w:pStyle w:val="a3"/>
        <w:ind w:firstLine="709"/>
        <w:jc w:val="both"/>
      </w:pPr>
      <w:r>
        <w:t xml:space="preserve">В затраты включены расходы на работы по межеванию земельных участков и </w:t>
      </w:r>
      <w:r w:rsidR="00A24B93">
        <w:t xml:space="preserve">оплата </w:t>
      </w:r>
      <w:r>
        <w:t>госпошлины для регистрации права собственности.</w:t>
      </w:r>
    </w:p>
    <w:p w:rsidR="0090558A" w:rsidRDefault="0090558A" w:rsidP="0090558A">
      <w:pPr>
        <w:pStyle w:val="a3"/>
        <w:ind w:firstLine="709"/>
      </w:pPr>
    </w:p>
    <w:p w:rsidR="008D3314" w:rsidRPr="005E7809" w:rsidRDefault="00A24B93" w:rsidP="0090558A">
      <w:pPr>
        <w:pStyle w:val="a3"/>
        <w:ind w:firstLine="709"/>
      </w:pPr>
      <w:r>
        <w:t xml:space="preserve">Копии </w:t>
      </w:r>
      <w:proofErr w:type="gramStart"/>
      <w:r>
        <w:t>документов</w:t>
      </w:r>
      <w:proofErr w:type="gramEnd"/>
      <w:r w:rsidR="0090558A">
        <w:t xml:space="preserve"> подтверждающие право собственности </w:t>
      </w:r>
      <w:r>
        <w:t xml:space="preserve">на </w:t>
      </w:r>
      <w:proofErr w:type="spellStart"/>
      <w:r>
        <w:t>энергопринимающие</w:t>
      </w:r>
      <w:proofErr w:type="spellEnd"/>
      <w:r>
        <w:t xml:space="preserve"> устройства </w:t>
      </w:r>
      <w:r w:rsidR="0090558A">
        <w:t>прилагаются.</w:t>
      </w:r>
    </w:p>
    <w:p w:rsidR="008D3314" w:rsidRDefault="008D3314" w:rsidP="0090558A">
      <w:pPr>
        <w:pStyle w:val="a3"/>
        <w:ind w:firstLine="709"/>
      </w:pPr>
    </w:p>
    <w:tbl>
      <w:tblPr>
        <w:tblW w:w="9464" w:type="dxa"/>
        <w:tblLook w:val="04A0"/>
      </w:tblPr>
      <w:tblGrid>
        <w:gridCol w:w="4077"/>
        <w:gridCol w:w="5387"/>
      </w:tblGrid>
      <w:tr w:rsidR="00A80456" w:rsidRPr="003E7A5E" w:rsidTr="00A80456">
        <w:tc>
          <w:tcPr>
            <w:tcW w:w="4077" w:type="dxa"/>
          </w:tcPr>
          <w:p w:rsidR="00A80456" w:rsidRPr="003E7A5E" w:rsidRDefault="00A80456" w:rsidP="00A80456">
            <w:pPr>
              <w:spacing w:line="240" w:lineRule="exact"/>
              <w:jc w:val="center"/>
              <w:rPr>
                <w:rFonts w:eastAsiaTheme="minorHAnsi"/>
                <w:color w:val="595959" w:themeColor="text1" w:themeTint="A6"/>
              </w:rPr>
            </w:pPr>
          </w:p>
          <w:p w:rsidR="00A80456" w:rsidRDefault="00A80456" w:rsidP="00A80456">
            <w:pPr>
              <w:spacing w:line="240" w:lineRule="exact"/>
              <w:rPr>
                <w:rFonts w:eastAsiaTheme="minorHAnsi"/>
                <w:color w:val="595959" w:themeColor="text1" w:themeTint="A6"/>
              </w:rPr>
            </w:pPr>
            <w:r w:rsidRPr="00A24220">
              <w:rPr>
                <w:rFonts w:eastAsiaTheme="minorHAnsi"/>
                <w:color w:val="595959" w:themeColor="text1" w:themeTint="A6"/>
              </w:rPr>
              <w:t>Раздел ИП:</w:t>
            </w:r>
            <w:r>
              <w:rPr>
                <w:rFonts w:eastAsiaTheme="minorHAnsi"/>
                <w:color w:val="595959" w:themeColor="text1" w:themeTint="A6"/>
              </w:rPr>
              <w:t xml:space="preserve"> </w:t>
            </w:r>
          </w:p>
          <w:p w:rsidR="00A80456" w:rsidRPr="00A24220" w:rsidRDefault="00A80456" w:rsidP="00A80456">
            <w:pPr>
              <w:spacing w:line="240" w:lineRule="exact"/>
              <w:rPr>
                <w:rFonts w:eastAsiaTheme="minorHAnsi"/>
                <w:b/>
                <w:color w:val="595959" w:themeColor="text1" w:themeTint="A6"/>
              </w:rPr>
            </w:pPr>
            <w:r w:rsidRPr="00A24220">
              <w:rPr>
                <w:rFonts w:eastAsiaTheme="minorHAnsi"/>
                <w:b/>
              </w:rPr>
              <w:t xml:space="preserve">«Приобретение </w:t>
            </w:r>
            <w:r>
              <w:rPr>
                <w:rFonts w:eastAsiaTheme="minorHAnsi"/>
                <w:b/>
              </w:rPr>
              <w:t>прочего оборудования</w:t>
            </w:r>
            <w:r w:rsidRPr="00A24220">
              <w:rPr>
                <w:rFonts w:eastAsiaTheme="minorHAnsi"/>
                <w:b/>
              </w:rPr>
              <w:t>»</w:t>
            </w:r>
          </w:p>
        </w:tc>
        <w:tc>
          <w:tcPr>
            <w:tcW w:w="5387" w:type="dxa"/>
          </w:tcPr>
          <w:p w:rsidR="00A80456" w:rsidRPr="003E7A5E" w:rsidRDefault="00A80456" w:rsidP="00A80456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80456" w:rsidRPr="003E7A5E" w:rsidRDefault="00A80456" w:rsidP="00A80456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80456" w:rsidRPr="003E7A5E" w:rsidRDefault="00A80456" w:rsidP="00A80456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80456" w:rsidRPr="003E7A5E" w:rsidRDefault="00A80456" w:rsidP="00A80456">
            <w:pPr>
              <w:spacing w:line="240" w:lineRule="exact"/>
              <w:jc w:val="both"/>
              <w:rPr>
                <w:rFonts w:eastAsiaTheme="minorHAnsi"/>
              </w:rPr>
            </w:pPr>
          </w:p>
          <w:p w:rsidR="00A80456" w:rsidRPr="003E7A5E" w:rsidRDefault="00A80456" w:rsidP="00A80456">
            <w:pPr>
              <w:spacing w:line="240" w:lineRule="exact"/>
              <w:ind w:left="344" w:hanging="344"/>
              <w:jc w:val="both"/>
              <w:rPr>
                <w:rFonts w:eastAsiaTheme="minorHAnsi"/>
              </w:rPr>
            </w:pPr>
          </w:p>
          <w:p w:rsidR="00A80456" w:rsidRPr="003E7A5E" w:rsidRDefault="00A80456" w:rsidP="00A80456">
            <w:pPr>
              <w:spacing w:line="240" w:lineRule="exact"/>
              <w:jc w:val="both"/>
              <w:rPr>
                <w:rFonts w:eastAsiaTheme="minorHAnsi"/>
              </w:rPr>
            </w:pPr>
          </w:p>
        </w:tc>
      </w:tr>
    </w:tbl>
    <w:p w:rsidR="00C629F4" w:rsidRDefault="00C629F4" w:rsidP="00A80456">
      <w:pPr>
        <w:pStyle w:val="a3"/>
        <w:ind w:firstLine="851"/>
        <w:jc w:val="both"/>
      </w:pPr>
      <w:r w:rsidRPr="00C629F4">
        <w:t xml:space="preserve">Для улучшения качество работы охранных структур АО «УСК» в инвестиционную программу на 2018г. включены </w:t>
      </w:r>
      <w:r>
        <w:t>затраты на приобретение видеооборудования на общую сумму 183,0</w:t>
      </w:r>
      <w:r w:rsidR="006A6AB1">
        <w:t xml:space="preserve"> </w:t>
      </w:r>
      <w:r>
        <w:t>тыс</w:t>
      </w:r>
      <w:proofErr w:type="gramStart"/>
      <w:r>
        <w:t>.р</w:t>
      </w:r>
      <w:proofErr w:type="gramEnd"/>
      <w:r>
        <w:t>уб. на следующие объекты:</w:t>
      </w:r>
    </w:p>
    <w:p w:rsidR="006A6AB1" w:rsidRDefault="006A6AB1" w:rsidP="00A80456">
      <w:pPr>
        <w:pStyle w:val="a3"/>
        <w:ind w:left="720"/>
        <w:jc w:val="both"/>
      </w:pPr>
    </w:p>
    <w:p w:rsidR="00C629F4" w:rsidRDefault="006A6AB1" w:rsidP="00A80456">
      <w:pPr>
        <w:pStyle w:val="a3"/>
        <w:ind w:left="720"/>
        <w:jc w:val="both"/>
      </w:pPr>
      <w:r>
        <w:t>-МРЭС-3 г</w:t>
      </w:r>
      <w:proofErr w:type="gramStart"/>
      <w:r>
        <w:t>.Д</w:t>
      </w:r>
      <w:proofErr w:type="gramEnd"/>
      <w:r>
        <w:t>имитровград -91,</w:t>
      </w:r>
      <w:r w:rsidR="00C629F4">
        <w:t>5тыс.руб.(с НДС)</w:t>
      </w:r>
    </w:p>
    <w:p w:rsidR="00C629F4" w:rsidRDefault="006A6AB1" w:rsidP="00A80456">
      <w:pPr>
        <w:pStyle w:val="a3"/>
        <w:ind w:left="720"/>
        <w:jc w:val="both"/>
      </w:pPr>
      <w:r>
        <w:t>-МРЭС-5 г</w:t>
      </w:r>
      <w:proofErr w:type="gramStart"/>
      <w:r>
        <w:t>.Б</w:t>
      </w:r>
      <w:proofErr w:type="gramEnd"/>
      <w:r>
        <w:t>арыш- 91,</w:t>
      </w:r>
      <w:r w:rsidR="00C629F4">
        <w:t>5тыс.руб.(с НДС).</w:t>
      </w:r>
    </w:p>
    <w:p w:rsidR="00C629F4" w:rsidRDefault="006A6AB1" w:rsidP="00A80456">
      <w:pPr>
        <w:pStyle w:val="a3"/>
        <w:ind w:left="720"/>
        <w:jc w:val="both"/>
      </w:pPr>
      <w:r>
        <w:t>Коммерческие предложения и сметы на оказание услуг по монтажу охранного телевидени</w:t>
      </w:r>
      <w:proofErr w:type="gramStart"/>
      <w:r>
        <w:t>я(</w:t>
      </w:r>
      <w:proofErr w:type="gramEnd"/>
      <w:r>
        <w:t>видеонаблюдения) и сметные расчеты прилагаются.</w:t>
      </w:r>
    </w:p>
    <w:p w:rsidR="006A6AB1" w:rsidRDefault="006A6AB1" w:rsidP="00A80456">
      <w:pPr>
        <w:pStyle w:val="a3"/>
        <w:ind w:left="720"/>
        <w:jc w:val="both"/>
      </w:pPr>
    </w:p>
    <w:p w:rsidR="005E7809" w:rsidRPr="005E7809" w:rsidRDefault="005E7809" w:rsidP="00A80456">
      <w:pPr>
        <w:pStyle w:val="a3"/>
        <w:ind w:firstLine="709"/>
        <w:jc w:val="both"/>
        <w:rPr>
          <w:color w:val="000000" w:themeColor="text1"/>
        </w:rPr>
      </w:pPr>
      <w:r w:rsidRPr="005E7809">
        <w:rPr>
          <w:color w:val="000000" w:themeColor="text1"/>
        </w:rPr>
        <w:t>В соответствии с ТК РФ и «Правилами по охране труда при эксплуатации энергоустановок» специалистами СОТ АО «УСК» проводятся систематическое обучение персонала по оказанию первой доврачебной помощи и конкурсы профессионального мастерства.</w:t>
      </w:r>
    </w:p>
    <w:p w:rsidR="006A6AB1" w:rsidRDefault="005E7809" w:rsidP="00A80456">
      <w:pPr>
        <w:pStyle w:val="a3"/>
        <w:ind w:firstLine="709"/>
        <w:jc w:val="both"/>
        <w:rPr>
          <w:color w:val="000000" w:themeColor="text1"/>
        </w:rPr>
      </w:pPr>
      <w:r w:rsidRPr="005E7809">
        <w:rPr>
          <w:color w:val="000000" w:themeColor="text1"/>
        </w:rPr>
        <w:t>Для выполнения этих задач запланировано п</w:t>
      </w:r>
      <w:r w:rsidR="006A6AB1" w:rsidRPr="005E7809">
        <w:rPr>
          <w:color w:val="000000" w:themeColor="text1"/>
        </w:rPr>
        <w:t>риобретение тренажерного оборудования «Гоша-06»</w:t>
      </w:r>
      <w:r w:rsidRPr="005E7809">
        <w:rPr>
          <w:color w:val="000000" w:themeColor="text1"/>
        </w:rPr>
        <w:t xml:space="preserve"> стоимостью </w:t>
      </w:r>
      <w:r w:rsidR="008D3314" w:rsidRPr="005E7809">
        <w:rPr>
          <w:color w:val="000000" w:themeColor="text1"/>
        </w:rPr>
        <w:t>230 тыс</w:t>
      </w:r>
      <w:proofErr w:type="gramStart"/>
      <w:r w:rsidR="008D3314" w:rsidRPr="005E7809">
        <w:rPr>
          <w:color w:val="000000" w:themeColor="text1"/>
        </w:rPr>
        <w:t>.р</w:t>
      </w:r>
      <w:proofErr w:type="gramEnd"/>
      <w:r w:rsidR="008D3314" w:rsidRPr="005E7809">
        <w:rPr>
          <w:color w:val="000000" w:themeColor="text1"/>
        </w:rPr>
        <w:t xml:space="preserve">уб. </w:t>
      </w:r>
      <w:r w:rsidRPr="005E7809">
        <w:rPr>
          <w:color w:val="000000" w:themeColor="text1"/>
        </w:rPr>
        <w:t>(</w:t>
      </w:r>
      <w:r w:rsidR="008D3314" w:rsidRPr="005E7809">
        <w:rPr>
          <w:color w:val="000000" w:themeColor="text1"/>
        </w:rPr>
        <w:t>с НДС)</w:t>
      </w:r>
      <w:r w:rsidRPr="005E7809">
        <w:rPr>
          <w:color w:val="000000" w:themeColor="text1"/>
        </w:rPr>
        <w:t>.</w:t>
      </w:r>
    </w:p>
    <w:p w:rsidR="00A80456" w:rsidRPr="005E7809" w:rsidRDefault="00A80456" w:rsidP="00A80456">
      <w:pPr>
        <w:pStyle w:val="a3"/>
        <w:ind w:firstLine="709"/>
        <w:jc w:val="both"/>
        <w:rPr>
          <w:color w:val="000000" w:themeColor="text1"/>
        </w:rPr>
      </w:pPr>
    </w:p>
    <w:p w:rsidR="00543194" w:rsidRPr="00C629F4" w:rsidRDefault="00543194" w:rsidP="00A80456">
      <w:pPr>
        <w:jc w:val="both"/>
      </w:pPr>
    </w:p>
    <w:p w:rsidR="00972784" w:rsidRDefault="000D7386" w:rsidP="000D7386">
      <w:pPr>
        <w:spacing w:line="240" w:lineRule="exact"/>
        <w:ind w:left="142"/>
        <w:jc w:val="center"/>
        <w:rPr>
          <w:b/>
          <w:sz w:val="28"/>
          <w:szCs w:val="28"/>
        </w:rPr>
      </w:pPr>
      <w:r w:rsidRPr="003F0C83">
        <w:rPr>
          <w:b/>
          <w:sz w:val="28"/>
          <w:szCs w:val="28"/>
        </w:rPr>
        <w:t xml:space="preserve"> </w:t>
      </w:r>
    </w:p>
    <w:p w:rsidR="003F0C83" w:rsidRPr="003F0C83" w:rsidRDefault="000D7386" w:rsidP="000D7386">
      <w:pPr>
        <w:spacing w:line="240" w:lineRule="exact"/>
        <w:ind w:left="142"/>
        <w:jc w:val="center"/>
        <w:rPr>
          <w:b/>
          <w:sz w:val="28"/>
          <w:szCs w:val="28"/>
        </w:rPr>
      </w:pPr>
      <w:r w:rsidRPr="003F0C83">
        <w:rPr>
          <w:b/>
          <w:sz w:val="28"/>
          <w:szCs w:val="28"/>
        </w:rPr>
        <w:t>Возможные риски при реализации</w:t>
      </w:r>
    </w:p>
    <w:p w:rsidR="000D7386" w:rsidRPr="003F0C83" w:rsidRDefault="000D7386" w:rsidP="000D7386">
      <w:pPr>
        <w:spacing w:line="240" w:lineRule="exact"/>
        <w:ind w:left="142"/>
        <w:jc w:val="center"/>
        <w:rPr>
          <w:b/>
          <w:sz w:val="28"/>
          <w:szCs w:val="28"/>
        </w:rPr>
      </w:pPr>
      <w:r w:rsidRPr="003F0C83">
        <w:rPr>
          <w:b/>
          <w:sz w:val="28"/>
          <w:szCs w:val="28"/>
        </w:rPr>
        <w:t xml:space="preserve"> инвестиционной программы</w:t>
      </w:r>
    </w:p>
    <w:p w:rsidR="000D7386" w:rsidRPr="000D7386" w:rsidRDefault="000D7386" w:rsidP="000D7386">
      <w:pPr>
        <w:autoSpaceDE w:val="0"/>
        <w:autoSpaceDN w:val="0"/>
        <w:adjustRightInd w:val="0"/>
        <w:spacing w:line="240" w:lineRule="atLeast"/>
        <w:jc w:val="both"/>
      </w:pPr>
    </w:p>
    <w:p w:rsidR="001E4580" w:rsidRDefault="001E4580" w:rsidP="000D7386">
      <w:pPr>
        <w:spacing w:line="240" w:lineRule="exact"/>
        <w:ind w:firstLine="709"/>
        <w:jc w:val="both"/>
        <w:rPr>
          <w:highlight w:val="green"/>
        </w:rPr>
      </w:pPr>
    </w:p>
    <w:p w:rsidR="000D7386" w:rsidRDefault="000D7386" w:rsidP="000D7386">
      <w:pPr>
        <w:spacing w:line="240" w:lineRule="exact"/>
        <w:ind w:firstLine="709"/>
        <w:jc w:val="both"/>
      </w:pPr>
      <w:r w:rsidRPr="001E4580">
        <w:t>Риск всегда предполагает вероятностный характер исхода, при этом в основном под словом риск чаще всего понимают </w:t>
      </w:r>
      <w:hyperlink r:id="rId6" w:tooltip="Вероятность" w:history="1">
        <w:r w:rsidRPr="001E4580">
          <w:t>вероятность</w:t>
        </w:r>
      </w:hyperlink>
      <w:r w:rsidRPr="001E4580">
        <w:t xml:space="preserve"> получения неблагоприятного результата (потерь), хотя его можно описать и как вероятность получить результат, отличный </w:t>
      </w:r>
      <w:proofErr w:type="gramStart"/>
      <w:r w:rsidRPr="001E4580">
        <w:t>от</w:t>
      </w:r>
      <w:proofErr w:type="gramEnd"/>
      <w:r w:rsidRPr="001E4580">
        <w:t xml:space="preserve"> ожидаемого. В этом смысле становится возможным говорить и о риске убытков, и о риске сверхприбыли.</w:t>
      </w:r>
      <w:r w:rsidRPr="000D7386">
        <w:t xml:space="preserve"> </w:t>
      </w:r>
    </w:p>
    <w:p w:rsidR="0011440B" w:rsidRPr="0011440B" w:rsidRDefault="0011440B" w:rsidP="0011440B">
      <w:pPr>
        <w:ind w:firstLine="709"/>
        <w:jc w:val="both"/>
      </w:pPr>
      <w:r w:rsidRPr="0011440B">
        <w:t>Возникновение риска снижает расчетную эффективность инвестиционного проекта. Можно выделить следующие факторы возникновения рисков:</w:t>
      </w:r>
    </w:p>
    <w:p w:rsidR="0011440B" w:rsidRPr="0011440B" w:rsidRDefault="0011440B" w:rsidP="0011440B">
      <w:pPr>
        <w:ind w:firstLine="709"/>
        <w:jc w:val="both"/>
      </w:pPr>
      <w:r w:rsidRPr="0011440B">
        <w:t>- неполнота или неточность проектной информации о составе, значении, взаимном влиянии и динамике наиболее существенных технических, технологических или экономических параметров проекта;</w:t>
      </w:r>
    </w:p>
    <w:p w:rsidR="0011440B" w:rsidRPr="0011440B" w:rsidRDefault="0011440B" w:rsidP="0011440B">
      <w:pPr>
        <w:ind w:firstLine="709"/>
        <w:jc w:val="both"/>
      </w:pPr>
      <w:r w:rsidRPr="0011440B">
        <w:t xml:space="preserve"> - ошибки в расчетах параметров проекта из-за неточности или неправильного использования методов прогнозирования; - ошибки в расчетах экономических показателей или в использовании методики; - производственно-технологический риск (аварии, сбои в работе оборудования, нарушение технологического цикла ит.д.); </w:t>
      </w:r>
    </w:p>
    <w:p w:rsidR="0011440B" w:rsidRPr="0011440B" w:rsidRDefault="0011440B" w:rsidP="0011440B">
      <w:pPr>
        <w:ind w:firstLine="709"/>
        <w:jc w:val="both"/>
      </w:pPr>
      <w:r w:rsidRPr="0011440B">
        <w:t>- неполнота или неточность информации о финансовом положении и деловой репутации организаций-участников, что может повлечь неплатежи, банкротство, срыв договорных обязательств);</w:t>
      </w:r>
    </w:p>
    <w:p w:rsidR="0011440B" w:rsidRPr="0011440B" w:rsidRDefault="0011440B" w:rsidP="0011440B">
      <w:pPr>
        <w:ind w:firstLine="709"/>
        <w:jc w:val="both"/>
      </w:pPr>
      <w:r w:rsidRPr="0011440B">
        <w:t xml:space="preserve"> - неопределенность природно-климатических условий, возможность стихийных бедствий; - неопределенность политической ситуации, возможность неблагоприятных социально-политических изменений; - нестабильность экономического законодательства </w:t>
      </w:r>
      <w:r w:rsidRPr="0011440B">
        <w:lastRenderedPageBreak/>
        <w:t>и текущей экономической ситуации, условий инвестирования и использования прибыли и т.д.</w:t>
      </w:r>
    </w:p>
    <w:p w:rsidR="0011440B" w:rsidRPr="0011440B" w:rsidRDefault="00DA0636" w:rsidP="0011440B">
      <w:pPr>
        <w:spacing w:line="240" w:lineRule="exact"/>
        <w:ind w:firstLine="709"/>
        <w:jc w:val="both"/>
      </w:pPr>
      <w:r>
        <w:t>Возможные р</w:t>
      </w:r>
      <w:r w:rsidR="0011440B" w:rsidRPr="0011440B">
        <w:t>иск</w:t>
      </w:r>
      <w:r>
        <w:t>и</w:t>
      </w:r>
      <w:r w:rsidR="0011440B" w:rsidRPr="0011440B">
        <w:t>, связанны</w:t>
      </w:r>
      <w:r>
        <w:t>е</w:t>
      </w:r>
      <w:r w:rsidR="0011440B" w:rsidRPr="0011440B">
        <w:t xml:space="preserve"> с реализацией инвестиционного проекта</w:t>
      </w:r>
      <w:r>
        <w:t>, представлены ниже</w:t>
      </w:r>
      <w:r w:rsidR="0011440B" w:rsidRPr="0011440B">
        <w:t xml:space="preserve">: </w:t>
      </w:r>
    </w:p>
    <w:p w:rsidR="0011440B" w:rsidRPr="003F0C83" w:rsidRDefault="0011440B" w:rsidP="000D7386">
      <w:pPr>
        <w:spacing w:line="240" w:lineRule="exact"/>
        <w:ind w:firstLine="709"/>
        <w:jc w:val="both"/>
      </w:pPr>
    </w:p>
    <w:p w:rsidR="0011440B" w:rsidRPr="003F0C83" w:rsidRDefault="0011440B" w:rsidP="003F0C83">
      <w:pPr>
        <w:pStyle w:val="a4"/>
        <w:numPr>
          <w:ilvl w:val="0"/>
          <w:numId w:val="21"/>
        </w:numPr>
        <w:spacing w:line="240" w:lineRule="exact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Страховой</w:t>
      </w:r>
      <w:proofErr w:type="spell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риск</w:t>
      </w:r>
      <w:proofErr w:type="spell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</w:p>
    <w:p w:rsidR="0011440B" w:rsidRDefault="0011440B" w:rsidP="0011440B">
      <w:pPr>
        <w:spacing w:line="240" w:lineRule="exact"/>
        <w:ind w:firstLine="709"/>
        <w:jc w:val="both"/>
      </w:pPr>
    </w:p>
    <w:p w:rsidR="0011440B" w:rsidRPr="0011440B" w:rsidRDefault="0011440B" w:rsidP="0011440B">
      <w:pPr>
        <w:spacing w:line="240" w:lineRule="exact"/>
        <w:ind w:firstLine="709"/>
        <w:jc w:val="both"/>
      </w:pPr>
      <w:r w:rsidRPr="0011440B">
        <w:t xml:space="preserve">Страховой риск означает наступление таких событий, на которые организация не может повлиять. Такой риск заключатся в следующем:  конфискация имущества либо утеря права собственности при выкупе;  непредвиденные изменения законодательства, ухудшающего финансовые показатели проекта (например, увеличение налогов) и т.д.;  рост инфляции, превышающий уровень инфляции, учитываемый при расчетах Инвестиционной программы. Величина поправки на страховой риск оценивается экспертно. </w:t>
      </w:r>
    </w:p>
    <w:p w:rsidR="0011440B" w:rsidRPr="003F0C83" w:rsidRDefault="0011440B" w:rsidP="0011440B">
      <w:pPr>
        <w:spacing w:line="240" w:lineRule="exact"/>
        <w:ind w:firstLine="709"/>
        <w:jc w:val="both"/>
        <w:rPr>
          <w:b/>
        </w:rPr>
      </w:pPr>
    </w:p>
    <w:p w:rsidR="0011440B" w:rsidRPr="003F0C83" w:rsidRDefault="0011440B" w:rsidP="003F0C83">
      <w:pPr>
        <w:pStyle w:val="a4"/>
        <w:numPr>
          <w:ilvl w:val="0"/>
          <w:numId w:val="21"/>
        </w:numPr>
        <w:spacing w:line="240" w:lineRule="exact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F0C83">
        <w:rPr>
          <w:rFonts w:ascii="Times New Roman" w:hAnsi="Times New Roman"/>
          <w:b/>
          <w:color w:val="auto"/>
          <w:sz w:val="24"/>
          <w:szCs w:val="24"/>
        </w:rPr>
        <w:t>Риск ненадежности участников проекта.</w:t>
      </w:r>
    </w:p>
    <w:p w:rsidR="0011440B" w:rsidRPr="0011440B" w:rsidRDefault="0011440B" w:rsidP="0011440B">
      <w:pPr>
        <w:spacing w:line="240" w:lineRule="exact"/>
        <w:ind w:firstLine="709"/>
        <w:jc w:val="both"/>
      </w:pPr>
      <w:proofErr w:type="gramStart"/>
      <w:r w:rsidRPr="0011440B">
        <w:t>Риск ненадежности участников проекта предполагается в возможности непредвиденного прекращения реализации проекта, обусловленного:  нецелевым расходованием средств, предназначенных для инвестирования в данный проект или для создания финансовых резервов;  финансовой неустойчивостью фирмы, реализующей проект (необеспеченность оборотными средствами, отсутствие активов, обеспечивающих возврат заемных средств, и т.д.);  неплатежеспособностью, недобросовестностью, юридической недееспособностью других участников проекта (строительных организаций, поставщиков, потребителей и т.д.).</w:t>
      </w:r>
      <w:proofErr w:type="gramEnd"/>
    </w:p>
    <w:p w:rsidR="0011440B" w:rsidRDefault="0011440B" w:rsidP="0011440B">
      <w:pPr>
        <w:spacing w:line="240" w:lineRule="exact"/>
        <w:ind w:firstLine="709"/>
        <w:jc w:val="both"/>
      </w:pPr>
    </w:p>
    <w:p w:rsidR="003F0C83" w:rsidRPr="003F0C83" w:rsidRDefault="0011440B" w:rsidP="003F0C83">
      <w:pPr>
        <w:pStyle w:val="a4"/>
        <w:numPr>
          <w:ilvl w:val="0"/>
          <w:numId w:val="22"/>
        </w:numPr>
        <w:spacing w:line="240" w:lineRule="exact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Риск</w:t>
      </w:r>
      <w:proofErr w:type="spell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неполучения</w:t>
      </w:r>
      <w:proofErr w:type="spell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предусмотренных</w:t>
      </w:r>
      <w:proofErr w:type="spell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проектом</w:t>
      </w:r>
      <w:proofErr w:type="spellEnd"/>
    </w:p>
    <w:p w:rsidR="0011440B" w:rsidRPr="003F0C83" w:rsidRDefault="0011440B" w:rsidP="003F0C83">
      <w:pPr>
        <w:pStyle w:val="a4"/>
        <w:spacing w:line="240" w:lineRule="exact"/>
        <w:ind w:left="142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proofErr w:type="gramStart"/>
      <w:r w:rsidRPr="003F0C83">
        <w:rPr>
          <w:rFonts w:ascii="Times New Roman" w:hAnsi="Times New Roman"/>
          <w:b/>
          <w:color w:val="auto"/>
          <w:sz w:val="24"/>
          <w:szCs w:val="24"/>
        </w:rPr>
        <w:t>финансовых</w:t>
      </w:r>
      <w:proofErr w:type="spellEnd"/>
      <w:proofErr w:type="gram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F0C83">
        <w:rPr>
          <w:rFonts w:ascii="Times New Roman" w:hAnsi="Times New Roman"/>
          <w:b/>
          <w:color w:val="auto"/>
          <w:sz w:val="24"/>
          <w:szCs w:val="24"/>
        </w:rPr>
        <w:t>результатов</w:t>
      </w:r>
      <w:proofErr w:type="spellEnd"/>
      <w:r w:rsidRPr="003F0C83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</w:p>
    <w:p w:rsidR="0011440B" w:rsidRDefault="0011440B" w:rsidP="0011440B">
      <w:pPr>
        <w:spacing w:line="240" w:lineRule="exact"/>
        <w:ind w:firstLine="709"/>
        <w:jc w:val="both"/>
      </w:pPr>
    </w:p>
    <w:p w:rsidR="0011440B" w:rsidRDefault="0011440B" w:rsidP="0011440B">
      <w:pPr>
        <w:spacing w:line="240" w:lineRule="exact"/>
        <w:ind w:firstLine="709"/>
        <w:jc w:val="both"/>
      </w:pPr>
      <w:r w:rsidRPr="0011440B">
        <w:t xml:space="preserve">Риск неполучения предусмотренных проектом </w:t>
      </w:r>
      <w:r>
        <w:t>финансовых результатов</w:t>
      </w:r>
      <w:r w:rsidRPr="0011440B">
        <w:t xml:space="preserve"> обусловлен:  техническими, технологическими и организационными решениями;  временные разрывы между периодом поступления денежных средств по договорам на подключение и сроками финансирования строительства объектов (превышающие запланированные) и т.д.</w:t>
      </w:r>
    </w:p>
    <w:p w:rsidR="001E4580" w:rsidRPr="003F0C83" w:rsidRDefault="001E4580" w:rsidP="003F0C83">
      <w:pPr>
        <w:pStyle w:val="a4"/>
        <w:numPr>
          <w:ilvl w:val="0"/>
          <w:numId w:val="23"/>
        </w:numPr>
        <w:spacing w:before="100" w:beforeAutospacing="1" w:after="100" w:afterAutospacing="1"/>
        <w:outlineLvl w:val="3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 w:rsidRPr="003F0C83">
        <w:rPr>
          <w:rFonts w:ascii="Times New Roman" w:hAnsi="Times New Roman"/>
          <w:b/>
          <w:bCs/>
          <w:color w:val="auto"/>
          <w:sz w:val="24"/>
          <w:szCs w:val="24"/>
        </w:rPr>
        <w:t>Маркетинговый</w:t>
      </w:r>
      <w:proofErr w:type="spellEnd"/>
      <w:r w:rsidRPr="003F0C8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3F0C83">
        <w:rPr>
          <w:rFonts w:ascii="Times New Roman" w:hAnsi="Times New Roman"/>
          <w:b/>
          <w:bCs/>
          <w:color w:val="auto"/>
          <w:sz w:val="24"/>
          <w:szCs w:val="24"/>
        </w:rPr>
        <w:t>риск</w:t>
      </w:r>
      <w:proofErr w:type="spellEnd"/>
    </w:p>
    <w:p w:rsidR="00B85F4F" w:rsidRPr="00DA0636" w:rsidRDefault="001E4580" w:rsidP="00B85F4F">
      <w:pPr>
        <w:spacing w:line="240" w:lineRule="exact"/>
        <w:ind w:firstLine="709"/>
        <w:jc w:val="both"/>
      </w:pPr>
      <w:r w:rsidRPr="00DA0636">
        <w:t>Этот риск является одним из наиболее значимых для большинства инвестиционных проектов. Ошибки в планировании маркетинговой стратегии возникают главным образом из-за недостаточного изучения потребностей рынка: неправильного позиционирования товара, неверной оценки конкурентоспособности рынка или неправильного ценообразования.</w:t>
      </w:r>
    </w:p>
    <w:p w:rsidR="001E4580" w:rsidRPr="00DA0636" w:rsidRDefault="001E4580" w:rsidP="00B85F4F">
      <w:pPr>
        <w:spacing w:line="240" w:lineRule="exact"/>
        <w:ind w:firstLine="709"/>
        <w:jc w:val="both"/>
      </w:pPr>
      <w:r w:rsidRPr="00DA0636">
        <w:t xml:space="preserve">Избежать подобной ситуации можно в первую очередь за счет всесторонней оценки рыночной среды </w:t>
      </w:r>
      <w:r w:rsidR="00B85F4F" w:rsidRPr="00DA0636">
        <w:t xml:space="preserve"> специалистами по маркетингу ОМТС.</w:t>
      </w:r>
    </w:p>
    <w:p w:rsidR="00B85F4F" w:rsidRPr="00DA0636" w:rsidRDefault="00B85F4F" w:rsidP="00B85F4F">
      <w:pPr>
        <w:spacing w:line="240" w:lineRule="exact"/>
        <w:ind w:firstLine="709"/>
        <w:jc w:val="both"/>
      </w:pPr>
    </w:p>
    <w:p w:rsidR="003F0C83" w:rsidRPr="003F0C83" w:rsidRDefault="00B85F4F" w:rsidP="003F0C83">
      <w:pPr>
        <w:pStyle w:val="a3"/>
        <w:numPr>
          <w:ilvl w:val="0"/>
          <w:numId w:val="24"/>
        </w:numPr>
        <w:ind w:left="1560" w:hanging="284"/>
        <w:rPr>
          <w:b/>
        </w:rPr>
      </w:pPr>
      <w:r w:rsidRPr="003F0C83">
        <w:rPr>
          <w:b/>
        </w:rPr>
        <w:t xml:space="preserve">Риски несоблюдения графика </w:t>
      </w:r>
    </w:p>
    <w:p w:rsidR="00B85F4F" w:rsidRPr="003F0C83" w:rsidRDefault="003F0C83" w:rsidP="003F0C83">
      <w:pPr>
        <w:pStyle w:val="a3"/>
        <w:ind w:left="720"/>
        <w:rPr>
          <w:b/>
        </w:rPr>
      </w:pPr>
      <w:r>
        <w:rPr>
          <w:b/>
        </w:rPr>
        <w:t xml:space="preserve">              </w:t>
      </w:r>
      <w:r w:rsidR="00B85F4F" w:rsidRPr="003F0C83">
        <w:rPr>
          <w:b/>
        </w:rPr>
        <w:t>и превышения бюджета проекта</w:t>
      </w:r>
    </w:p>
    <w:p w:rsidR="003F0C83" w:rsidRPr="00DA0636" w:rsidRDefault="003F0C83" w:rsidP="003F0C83">
      <w:pPr>
        <w:pStyle w:val="a3"/>
      </w:pPr>
    </w:p>
    <w:p w:rsidR="00B85F4F" w:rsidRPr="00DA0636" w:rsidRDefault="00B85F4F" w:rsidP="00B85F4F">
      <w:pPr>
        <w:ind w:firstLine="851"/>
      </w:pPr>
      <w:r w:rsidRPr="00DA0636">
        <w:t xml:space="preserve">Причины возникновения таких рисков могут быть объективными (например, изменение </w:t>
      </w:r>
      <w:r w:rsidR="007A054B" w:rsidRPr="00DA0636">
        <w:t xml:space="preserve">цен на </w:t>
      </w:r>
      <w:r w:rsidRPr="00DA0636">
        <w:t xml:space="preserve"> поставк</w:t>
      </w:r>
      <w:r w:rsidR="007A054B" w:rsidRPr="00DA0636">
        <w:t>у</w:t>
      </w:r>
      <w:r w:rsidRPr="00DA0636">
        <w:t xml:space="preserve"> оборудования</w:t>
      </w:r>
      <w:r w:rsidR="007A054B" w:rsidRPr="00DA0636">
        <w:t xml:space="preserve"> и </w:t>
      </w:r>
      <w:r w:rsidRPr="00DA0636">
        <w:t xml:space="preserve"> как следствие, задержка </w:t>
      </w:r>
      <w:r w:rsidR="00DA0636" w:rsidRPr="00DA0636">
        <w:t>товара</w:t>
      </w:r>
      <w:r w:rsidRPr="00DA0636">
        <w:t>) и субъективным</w:t>
      </w:r>
      <w:proofErr w:type="gramStart"/>
      <w:r w:rsidRPr="00DA0636">
        <w:t>и(</w:t>
      </w:r>
      <w:proofErr w:type="gramEnd"/>
      <w:r w:rsidRPr="00DA0636">
        <w:t xml:space="preserve"> например, недостаточная проработка и несогласованность работ по реализации проекта). Риск несоблюдения графика проекта приводит к увеличению срока его окупаемости как напрямую, так и за счет недополученно</w:t>
      </w:r>
      <w:r w:rsidR="00DA0636" w:rsidRPr="00DA0636">
        <w:t>го результата</w:t>
      </w:r>
      <w:r w:rsidRPr="00DA0636">
        <w:t>.</w:t>
      </w:r>
    </w:p>
    <w:p w:rsidR="001E4580" w:rsidRPr="00DA0636" w:rsidRDefault="001E4580" w:rsidP="0011440B">
      <w:pPr>
        <w:spacing w:line="240" w:lineRule="exact"/>
        <w:ind w:firstLine="709"/>
        <w:jc w:val="both"/>
      </w:pPr>
    </w:p>
    <w:p w:rsidR="001E4580" w:rsidRPr="001E4580" w:rsidRDefault="001E4580" w:rsidP="001E4580">
      <w:pPr>
        <w:pStyle w:val="a4"/>
        <w:spacing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DA0636">
        <w:rPr>
          <w:rFonts w:ascii="Times New Roman" w:hAnsi="Times New Roman"/>
          <w:color w:val="auto"/>
          <w:sz w:val="24"/>
          <w:szCs w:val="24"/>
          <w:lang w:val="ru-RU"/>
        </w:rPr>
        <w:t xml:space="preserve">Для минимизации последствий в случае наступления рисков </w:t>
      </w:r>
      <w:r w:rsidR="00DA0636">
        <w:rPr>
          <w:rFonts w:ascii="Times New Roman" w:hAnsi="Times New Roman"/>
          <w:color w:val="auto"/>
          <w:sz w:val="24"/>
          <w:szCs w:val="24"/>
          <w:lang w:val="ru-RU"/>
        </w:rPr>
        <w:t>необходима</w:t>
      </w:r>
      <w:r w:rsidRPr="00DA0636">
        <w:rPr>
          <w:rFonts w:ascii="Times New Roman" w:hAnsi="Times New Roman"/>
          <w:color w:val="auto"/>
          <w:sz w:val="24"/>
          <w:szCs w:val="24"/>
          <w:lang w:val="ru-RU"/>
        </w:rPr>
        <w:t xml:space="preserve"> корректировка Инвестиционной программы в рамках </w:t>
      </w:r>
      <w:r w:rsidR="00DA0636" w:rsidRPr="00DA0636">
        <w:rPr>
          <w:rFonts w:ascii="Times New Roman" w:hAnsi="Times New Roman"/>
          <w:color w:val="auto"/>
          <w:sz w:val="24"/>
          <w:szCs w:val="24"/>
          <w:lang w:val="ru-RU"/>
        </w:rPr>
        <w:t>норм действующего законодательства</w:t>
      </w:r>
      <w:r w:rsidRPr="00DA0636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1E4580" w:rsidRPr="001E4580" w:rsidRDefault="001E4580" w:rsidP="001E4580">
      <w:pPr>
        <w:spacing w:line="240" w:lineRule="exact"/>
        <w:ind w:firstLine="709"/>
        <w:jc w:val="both"/>
      </w:pPr>
    </w:p>
    <w:p w:rsidR="0011440B" w:rsidRDefault="0011440B" w:rsidP="001E4580">
      <w:pPr>
        <w:pStyle w:val="a3"/>
        <w:tabs>
          <w:tab w:val="left" w:pos="567"/>
        </w:tabs>
        <w:spacing w:line="240" w:lineRule="exact"/>
        <w:ind w:firstLine="709"/>
        <w:jc w:val="both"/>
        <w:rPr>
          <w:b/>
        </w:rPr>
      </w:pPr>
    </w:p>
    <w:p w:rsidR="0011440B" w:rsidRPr="0011440B" w:rsidRDefault="0011440B" w:rsidP="0011440B">
      <w:pPr>
        <w:pStyle w:val="a3"/>
        <w:tabs>
          <w:tab w:val="left" w:pos="567"/>
        </w:tabs>
        <w:spacing w:line="240" w:lineRule="exact"/>
        <w:ind w:left="720"/>
        <w:jc w:val="both"/>
        <w:rPr>
          <w:b/>
        </w:rPr>
      </w:pPr>
    </w:p>
    <w:p w:rsidR="0011440B" w:rsidRPr="000D7386" w:rsidRDefault="0011440B" w:rsidP="0011440B">
      <w:pPr>
        <w:spacing w:line="240" w:lineRule="exact"/>
        <w:jc w:val="both"/>
      </w:pPr>
    </w:p>
    <w:p w:rsidR="000D7386" w:rsidRDefault="000D7386" w:rsidP="000D7386">
      <w:pPr>
        <w:autoSpaceDE w:val="0"/>
        <w:autoSpaceDN w:val="0"/>
        <w:adjustRightInd w:val="0"/>
        <w:spacing w:line="240" w:lineRule="atLeast"/>
        <w:jc w:val="both"/>
      </w:pPr>
    </w:p>
    <w:sectPr w:rsidR="000D7386" w:rsidSect="007565C7">
      <w:pgSz w:w="11907" w:h="16839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15pt;height:9.15pt" o:bullet="t">
        <v:imagedata r:id="rId1" o:title="BD21344_"/>
      </v:shape>
    </w:pict>
  </w:numPicBullet>
  <w:abstractNum w:abstractNumId="0">
    <w:nsid w:val="06A637BD"/>
    <w:multiLevelType w:val="hybridMultilevel"/>
    <w:tmpl w:val="7970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97663"/>
    <w:multiLevelType w:val="hybridMultilevel"/>
    <w:tmpl w:val="3E826524"/>
    <w:lvl w:ilvl="0" w:tplc="6F081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A2345"/>
    <w:multiLevelType w:val="multilevel"/>
    <w:tmpl w:val="9A5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B36BB5"/>
    <w:multiLevelType w:val="hybridMultilevel"/>
    <w:tmpl w:val="BA6E91DC"/>
    <w:lvl w:ilvl="0" w:tplc="0419000F">
      <w:start w:val="1"/>
      <w:numFmt w:val="decimal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13FA0E52"/>
    <w:multiLevelType w:val="hybridMultilevel"/>
    <w:tmpl w:val="3616446E"/>
    <w:lvl w:ilvl="0" w:tplc="0419000D">
      <w:start w:val="1"/>
      <w:numFmt w:val="bullet"/>
      <w:lvlText w:val=""/>
      <w:lvlJc w:val="left"/>
      <w:pPr>
        <w:ind w:left="160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">
    <w:nsid w:val="19E5282C"/>
    <w:multiLevelType w:val="hybridMultilevel"/>
    <w:tmpl w:val="E6364908"/>
    <w:lvl w:ilvl="0" w:tplc="505AF2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13FDD"/>
    <w:multiLevelType w:val="hybridMultilevel"/>
    <w:tmpl w:val="6F1AB38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C1D2B31"/>
    <w:multiLevelType w:val="hybridMultilevel"/>
    <w:tmpl w:val="DC2C2666"/>
    <w:lvl w:ilvl="0" w:tplc="DD8031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BD7C4D"/>
    <w:multiLevelType w:val="hybridMultilevel"/>
    <w:tmpl w:val="79F048D8"/>
    <w:lvl w:ilvl="0" w:tplc="8D24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5C4B12"/>
    <w:multiLevelType w:val="hybridMultilevel"/>
    <w:tmpl w:val="4642D464"/>
    <w:lvl w:ilvl="0" w:tplc="87B4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F478F"/>
    <w:multiLevelType w:val="hybridMultilevel"/>
    <w:tmpl w:val="CB8A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D385D"/>
    <w:multiLevelType w:val="hybridMultilevel"/>
    <w:tmpl w:val="2090A0F6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>
    <w:nsid w:val="3DAA74D1"/>
    <w:multiLevelType w:val="hybridMultilevel"/>
    <w:tmpl w:val="F3580E36"/>
    <w:lvl w:ilvl="0" w:tplc="778490A8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48CA3A0C"/>
    <w:multiLevelType w:val="hybridMultilevel"/>
    <w:tmpl w:val="A67A273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65194A"/>
    <w:multiLevelType w:val="hybridMultilevel"/>
    <w:tmpl w:val="CDA6E2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CE6E01"/>
    <w:multiLevelType w:val="hybridMultilevel"/>
    <w:tmpl w:val="4FB2E12A"/>
    <w:lvl w:ilvl="0" w:tplc="92788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B4125"/>
    <w:multiLevelType w:val="hybridMultilevel"/>
    <w:tmpl w:val="FAA06182"/>
    <w:lvl w:ilvl="0" w:tplc="DD80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674A7"/>
    <w:multiLevelType w:val="hybridMultilevel"/>
    <w:tmpl w:val="BE22A19A"/>
    <w:lvl w:ilvl="0" w:tplc="0419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>
    <w:nsid w:val="76986E0F"/>
    <w:multiLevelType w:val="hybridMultilevel"/>
    <w:tmpl w:val="1FA43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03199"/>
    <w:multiLevelType w:val="hybridMultilevel"/>
    <w:tmpl w:val="F8102B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4A6B46"/>
    <w:multiLevelType w:val="hybridMultilevel"/>
    <w:tmpl w:val="2E12BB18"/>
    <w:lvl w:ilvl="0" w:tplc="F23C9D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CB001C"/>
    <w:multiLevelType w:val="hybridMultilevel"/>
    <w:tmpl w:val="6D14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02E43"/>
    <w:multiLevelType w:val="hybridMultilevel"/>
    <w:tmpl w:val="6B18DF32"/>
    <w:lvl w:ilvl="0" w:tplc="15F476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7F472708"/>
    <w:multiLevelType w:val="hybridMultilevel"/>
    <w:tmpl w:val="5ECEA0E6"/>
    <w:lvl w:ilvl="0" w:tplc="FA66AEAA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3"/>
  </w:num>
  <w:num w:numId="5">
    <w:abstractNumId w:val="15"/>
  </w:num>
  <w:num w:numId="6">
    <w:abstractNumId w:val="22"/>
  </w:num>
  <w:num w:numId="7">
    <w:abstractNumId w:val="10"/>
  </w:num>
  <w:num w:numId="8">
    <w:abstractNumId w:val="5"/>
  </w:num>
  <w:num w:numId="9">
    <w:abstractNumId w:val="21"/>
  </w:num>
  <w:num w:numId="10">
    <w:abstractNumId w:val="2"/>
  </w:num>
  <w:num w:numId="11">
    <w:abstractNumId w:val="8"/>
  </w:num>
  <w:num w:numId="12">
    <w:abstractNumId w:val="20"/>
  </w:num>
  <w:num w:numId="13">
    <w:abstractNumId w:val="0"/>
  </w:num>
  <w:num w:numId="14">
    <w:abstractNumId w:val="7"/>
  </w:num>
  <w:num w:numId="15">
    <w:abstractNumId w:val="9"/>
  </w:num>
  <w:num w:numId="16">
    <w:abstractNumId w:val="12"/>
  </w:num>
  <w:num w:numId="17">
    <w:abstractNumId w:val="16"/>
  </w:num>
  <w:num w:numId="18">
    <w:abstractNumId w:val="13"/>
  </w:num>
  <w:num w:numId="19">
    <w:abstractNumId w:val="14"/>
  </w:num>
  <w:num w:numId="20">
    <w:abstractNumId w:val="6"/>
  </w:num>
  <w:num w:numId="21">
    <w:abstractNumId w:val="17"/>
  </w:num>
  <w:num w:numId="22">
    <w:abstractNumId w:val="19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1688"/>
    <w:rsid w:val="00001688"/>
    <w:rsid w:val="00013117"/>
    <w:rsid w:val="000134C3"/>
    <w:rsid w:val="0002480C"/>
    <w:rsid w:val="00033C0F"/>
    <w:rsid w:val="00033F49"/>
    <w:rsid w:val="00051513"/>
    <w:rsid w:val="000A1960"/>
    <w:rsid w:val="000B558E"/>
    <w:rsid w:val="000D7386"/>
    <w:rsid w:val="000F31EA"/>
    <w:rsid w:val="00100683"/>
    <w:rsid w:val="00105CCA"/>
    <w:rsid w:val="0011440B"/>
    <w:rsid w:val="00121A54"/>
    <w:rsid w:val="00134291"/>
    <w:rsid w:val="00162822"/>
    <w:rsid w:val="0017218D"/>
    <w:rsid w:val="00176FDB"/>
    <w:rsid w:val="001B4D57"/>
    <w:rsid w:val="001E4580"/>
    <w:rsid w:val="001F0FBB"/>
    <w:rsid w:val="001F27EB"/>
    <w:rsid w:val="00213711"/>
    <w:rsid w:val="00242F79"/>
    <w:rsid w:val="0028504E"/>
    <w:rsid w:val="00294F44"/>
    <w:rsid w:val="002B170A"/>
    <w:rsid w:val="002B2946"/>
    <w:rsid w:val="002D3821"/>
    <w:rsid w:val="002E1417"/>
    <w:rsid w:val="002F129D"/>
    <w:rsid w:val="00311B06"/>
    <w:rsid w:val="003357F0"/>
    <w:rsid w:val="0034279E"/>
    <w:rsid w:val="0034565D"/>
    <w:rsid w:val="00387EA4"/>
    <w:rsid w:val="003D58F5"/>
    <w:rsid w:val="003E7A5E"/>
    <w:rsid w:val="003F0C83"/>
    <w:rsid w:val="0040124D"/>
    <w:rsid w:val="00402645"/>
    <w:rsid w:val="0041386E"/>
    <w:rsid w:val="0043000C"/>
    <w:rsid w:val="004610A1"/>
    <w:rsid w:val="0046784D"/>
    <w:rsid w:val="004C4F48"/>
    <w:rsid w:val="00543194"/>
    <w:rsid w:val="005A6BCA"/>
    <w:rsid w:val="005C2384"/>
    <w:rsid w:val="005C3955"/>
    <w:rsid w:val="005C55FD"/>
    <w:rsid w:val="005C7561"/>
    <w:rsid w:val="005E7809"/>
    <w:rsid w:val="006026EB"/>
    <w:rsid w:val="00650566"/>
    <w:rsid w:val="006518FA"/>
    <w:rsid w:val="0065258B"/>
    <w:rsid w:val="006736E2"/>
    <w:rsid w:val="0068743F"/>
    <w:rsid w:val="00695777"/>
    <w:rsid w:val="006A4555"/>
    <w:rsid w:val="006A6AB1"/>
    <w:rsid w:val="006A6ADB"/>
    <w:rsid w:val="006F6D08"/>
    <w:rsid w:val="00702E3C"/>
    <w:rsid w:val="007565C7"/>
    <w:rsid w:val="00765FE7"/>
    <w:rsid w:val="007A054B"/>
    <w:rsid w:val="007E3C4F"/>
    <w:rsid w:val="00807F0A"/>
    <w:rsid w:val="00813DE2"/>
    <w:rsid w:val="00834A88"/>
    <w:rsid w:val="00845E90"/>
    <w:rsid w:val="00852970"/>
    <w:rsid w:val="00864004"/>
    <w:rsid w:val="008B1AD1"/>
    <w:rsid w:val="008D3314"/>
    <w:rsid w:val="008F19BC"/>
    <w:rsid w:val="008F7EB7"/>
    <w:rsid w:val="00902B7E"/>
    <w:rsid w:val="0090558A"/>
    <w:rsid w:val="009321D2"/>
    <w:rsid w:val="009435E6"/>
    <w:rsid w:val="00972784"/>
    <w:rsid w:val="00972DA5"/>
    <w:rsid w:val="009C15C4"/>
    <w:rsid w:val="009C2033"/>
    <w:rsid w:val="00A1290B"/>
    <w:rsid w:val="00A24220"/>
    <w:rsid w:val="00A24B93"/>
    <w:rsid w:val="00A4480C"/>
    <w:rsid w:val="00A55159"/>
    <w:rsid w:val="00A761E1"/>
    <w:rsid w:val="00A80456"/>
    <w:rsid w:val="00AA3434"/>
    <w:rsid w:val="00AA7CBB"/>
    <w:rsid w:val="00AB6B2A"/>
    <w:rsid w:val="00AE1B9F"/>
    <w:rsid w:val="00AE7EA3"/>
    <w:rsid w:val="00B329B3"/>
    <w:rsid w:val="00B3721E"/>
    <w:rsid w:val="00B479A8"/>
    <w:rsid w:val="00B572EE"/>
    <w:rsid w:val="00B575F2"/>
    <w:rsid w:val="00B85060"/>
    <w:rsid w:val="00B85F4F"/>
    <w:rsid w:val="00BA11F4"/>
    <w:rsid w:val="00BA4EB6"/>
    <w:rsid w:val="00BA50BE"/>
    <w:rsid w:val="00BA7A33"/>
    <w:rsid w:val="00BB0D58"/>
    <w:rsid w:val="00BB32EE"/>
    <w:rsid w:val="00BB7FB2"/>
    <w:rsid w:val="00BC2338"/>
    <w:rsid w:val="00BE6EBA"/>
    <w:rsid w:val="00BF5CE6"/>
    <w:rsid w:val="00C03E99"/>
    <w:rsid w:val="00C04DBD"/>
    <w:rsid w:val="00C06C81"/>
    <w:rsid w:val="00C10E1C"/>
    <w:rsid w:val="00C2114D"/>
    <w:rsid w:val="00C33E4D"/>
    <w:rsid w:val="00C35228"/>
    <w:rsid w:val="00C42A06"/>
    <w:rsid w:val="00C4315A"/>
    <w:rsid w:val="00C62982"/>
    <w:rsid w:val="00C629F4"/>
    <w:rsid w:val="00C6547E"/>
    <w:rsid w:val="00C71820"/>
    <w:rsid w:val="00C816A4"/>
    <w:rsid w:val="00CA1038"/>
    <w:rsid w:val="00D00FBE"/>
    <w:rsid w:val="00D20E83"/>
    <w:rsid w:val="00D40425"/>
    <w:rsid w:val="00D455A8"/>
    <w:rsid w:val="00D73048"/>
    <w:rsid w:val="00D90D83"/>
    <w:rsid w:val="00D97AF4"/>
    <w:rsid w:val="00DA0636"/>
    <w:rsid w:val="00DC0DED"/>
    <w:rsid w:val="00DD74EF"/>
    <w:rsid w:val="00DE0979"/>
    <w:rsid w:val="00DF434F"/>
    <w:rsid w:val="00E0391A"/>
    <w:rsid w:val="00E047CE"/>
    <w:rsid w:val="00E15EEE"/>
    <w:rsid w:val="00E37D8A"/>
    <w:rsid w:val="00E54682"/>
    <w:rsid w:val="00EC1A8C"/>
    <w:rsid w:val="00ED5ABD"/>
    <w:rsid w:val="00EF579F"/>
    <w:rsid w:val="00F4226E"/>
    <w:rsid w:val="00F424E5"/>
    <w:rsid w:val="00F64305"/>
    <w:rsid w:val="00F661B4"/>
    <w:rsid w:val="00F84BD1"/>
    <w:rsid w:val="00FB5CF2"/>
    <w:rsid w:val="00FD7F3D"/>
    <w:rsid w:val="00FE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1688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6736E2"/>
  </w:style>
  <w:style w:type="character" w:styleId="a5">
    <w:name w:val="Hyperlink"/>
    <w:basedOn w:val="a0"/>
    <w:uiPriority w:val="99"/>
    <w:semiHidden/>
    <w:unhideWhenUsed/>
    <w:rsid w:val="006736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3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04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4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1%80%D0%BE%D1%8F%D1%82%D0%BD%D0%BE%D1%81%D1%8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BD7B3-4F59-4A07-BFDC-9479FBD2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akhmetova_lr</dc:creator>
  <cp:keywords/>
  <dc:description/>
  <cp:lastModifiedBy>israfilova_em</cp:lastModifiedBy>
  <cp:revision>10</cp:revision>
  <cp:lastPrinted>2018-03-20T09:51:00Z</cp:lastPrinted>
  <dcterms:created xsi:type="dcterms:W3CDTF">2018-03-13T13:06:00Z</dcterms:created>
  <dcterms:modified xsi:type="dcterms:W3CDTF">2018-03-20T11:46:00Z</dcterms:modified>
</cp:coreProperties>
</file>